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3E58A">
      <w:pPr>
        <w:spacing w:before="156" w:beforeLines="50" w:after="156" w:afterLines="50"/>
        <w:jc w:val="center"/>
        <w:rPr>
          <w:rFonts w:hint="eastAsia" w:ascii="黑体" w:eastAsia="黑体"/>
          <w:sz w:val="32"/>
          <w:szCs w:val="32"/>
          <w:u w:val="none"/>
          <w:lang w:val="en-US" w:eastAsia="zh-CN"/>
        </w:rPr>
      </w:pPr>
      <w:r>
        <w:rPr>
          <w:rFonts w:hint="eastAsia" w:ascii="黑体" w:eastAsia="黑体"/>
          <w:sz w:val="32"/>
          <w:szCs w:val="32"/>
          <w:u w:val="none"/>
          <w:lang w:val="en-US" w:eastAsia="zh-CN"/>
        </w:rPr>
        <w:t>池州职业技术学院微景观实训室建设项目</w:t>
      </w:r>
    </w:p>
    <w:p w14:paraId="13000EDA">
      <w:pPr>
        <w:spacing w:before="156" w:beforeLines="50" w:after="156" w:afterLines="50"/>
        <w:jc w:val="center"/>
        <w:rPr>
          <w:rFonts w:hint="eastAsia" w:ascii="黑体" w:eastAsia="黑体"/>
          <w:sz w:val="32"/>
          <w:szCs w:val="32"/>
          <w:u w:val="none"/>
        </w:rPr>
      </w:pPr>
      <w:r>
        <w:rPr>
          <w:rFonts w:hint="eastAsia" w:ascii="黑体" w:eastAsia="黑体"/>
          <w:sz w:val="32"/>
          <w:szCs w:val="32"/>
          <w:u w:val="none"/>
          <w:lang w:val="en-US" w:eastAsia="zh-CN"/>
        </w:rPr>
        <w:t>采购</w:t>
      </w:r>
      <w:r>
        <w:rPr>
          <w:rFonts w:hint="eastAsia" w:ascii="黑体" w:eastAsia="黑体"/>
          <w:sz w:val="32"/>
          <w:szCs w:val="32"/>
          <w:u w:val="none"/>
        </w:rPr>
        <w:t>需求书</w:t>
      </w:r>
    </w:p>
    <w:p w14:paraId="5DFD4A28">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b/>
          <w:sz w:val="24"/>
        </w:rPr>
      </w:pPr>
      <w:r>
        <w:rPr>
          <w:rFonts w:hint="eastAsia" w:ascii="宋体" w:hAnsi="宋体" w:cs="宋体"/>
          <w:b/>
          <w:sz w:val="24"/>
        </w:rPr>
        <w:t xml:space="preserve">    一、项目概况</w:t>
      </w:r>
    </w:p>
    <w:p w14:paraId="474F3BD9">
      <w:pPr>
        <w:keepNext w:val="0"/>
        <w:keepLines w:val="0"/>
        <w:pageBreakBefore w:val="0"/>
        <w:widowControl w:val="0"/>
        <w:kinsoku/>
        <w:wordWrap/>
        <w:overflowPunct/>
        <w:topLinePunct w:val="0"/>
        <w:autoSpaceDE/>
        <w:autoSpaceDN/>
        <w:bidi w:val="0"/>
        <w:adjustRightInd/>
        <w:spacing w:line="480" w:lineRule="exact"/>
        <w:ind w:right="-134" w:rightChars="-64" w:firstLine="482" w:firstLineChars="200"/>
        <w:jc w:val="left"/>
        <w:textAlignment w:val="auto"/>
        <w:rPr>
          <w:rFonts w:hint="eastAsia" w:ascii="宋体" w:hAnsi="宋体" w:cs="宋体"/>
          <w:b/>
          <w:kern w:val="0"/>
          <w:sz w:val="24"/>
        </w:rPr>
      </w:pPr>
      <w:r>
        <w:rPr>
          <w:rFonts w:hint="eastAsia" w:ascii="宋体" w:hAnsi="宋体" w:cs="宋体"/>
          <w:b/>
          <w:kern w:val="0"/>
          <w:sz w:val="24"/>
        </w:rPr>
        <w:t>1、实施背景</w:t>
      </w:r>
    </w:p>
    <w:p w14:paraId="0999ED18">
      <w:pPr>
        <w:pStyle w:val="3"/>
        <w:keepNext w:val="0"/>
        <w:keepLines w:val="0"/>
        <w:pageBreakBefore w:val="0"/>
        <w:widowControl w:val="0"/>
        <w:kinsoku/>
        <w:wordWrap/>
        <w:overflowPunct/>
        <w:topLinePunct w:val="0"/>
        <w:autoSpaceDE/>
        <w:autoSpaceDN/>
        <w:bidi w:val="0"/>
        <w:adjustRightInd/>
        <w:snapToGrid/>
        <w:spacing w:line="351" w:lineRule="auto"/>
        <w:ind w:firstLine="482"/>
        <w:jc w:val="both"/>
        <w:textAlignment w:val="auto"/>
        <w:rPr>
          <w:rFonts w:ascii="宋体" w:hAnsi="宋体"/>
          <w:sz w:val="24"/>
        </w:rPr>
      </w:pPr>
      <w:r>
        <w:rPr>
          <w:rFonts w:hint="eastAsia" w:ascii="宋体" w:hAnsi="宋体" w:eastAsia="宋体" w:cs="Times New Roman"/>
          <w:kern w:val="2"/>
          <w:sz w:val="24"/>
          <w:szCs w:val="24"/>
          <w:lang w:val="en-US" w:eastAsia="zh-CN" w:bidi="ar-SA"/>
        </w:rPr>
        <w:t>根据学院实验实训中心2024年年度实训室建设计划，为满足24五年制园林技术专业面向产业链、“以岗定课、课岗融通”的课程教学改革以及微景观设计与制作技能大赛对训练场地设备的需求，建筑与园林系现计划建设一间教学与微景观制作一体化实训教室，实现现场教学与实践为一体的目的。为了达到如期目标，急需配置相关设备。</w:t>
      </w:r>
    </w:p>
    <w:p w14:paraId="33296D26">
      <w:pPr>
        <w:keepNext w:val="0"/>
        <w:keepLines w:val="0"/>
        <w:pageBreakBefore w:val="0"/>
        <w:widowControl w:val="0"/>
        <w:kinsoku/>
        <w:wordWrap/>
        <w:overflowPunct/>
        <w:topLinePunct w:val="0"/>
        <w:autoSpaceDE/>
        <w:autoSpaceDN/>
        <w:bidi w:val="0"/>
        <w:adjustRightInd/>
        <w:spacing w:line="480" w:lineRule="exact"/>
        <w:ind w:right="-134" w:rightChars="-64" w:firstLine="482" w:firstLineChars="200"/>
        <w:jc w:val="left"/>
        <w:textAlignment w:val="auto"/>
        <w:rPr>
          <w:rFonts w:hint="eastAsia" w:ascii="宋体" w:hAnsi="宋体" w:cs="宋体"/>
          <w:b/>
          <w:kern w:val="0"/>
          <w:sz w:val="24"/>
        </w:rPr>
      </w:pPr>
      <w:r>
        <w:rPr>
          <w:rFonts w:hint="eastAsia" w:ascii="宋体" w:hAnsi="宋体" w:cs="宋体"/>
          <w:b/>
          <w:kern w:val="0"/>
          <w:sz w:val="24"/>
        </w:rPr>
        <w:t>2、采购内容和预算</w:t>
      </w:r>
    </w:p>
    <w:p w14:paraId="45EAD11F">
      <w:pPr>
        <w:pStyle w:val="3"/>
        <w:keepNext w:val="0"/>
        <w:keepLines w:val="0"/>
        <w:pageBreakBefore w:val="0"/>
        <w:widowControl w:val="0"/>
        <w:kinsoku/>
        <w:wordWrap/>
        <w:overflowPunct/>
        <w:topLinePunct w:val="0"/>
        <w:autoSpaceDE/>
        <w:autoSpaceDN/>
        <w:bidi w:val="0"/>
        <w:adjustRightInd/>
        <w:snapToGrid/>
        <w:spacing w:line="351" w:lineRule="auto"/>
        <w:ind w:firstLine="482"/>
        <w:jc w:val="both"/>
        <w:textAlignment w:val="auto"/>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需要采购的设备及实训室建设材料，预算 14.7万元。</w:t>
      </w:r>
    </w:p>
    <w:p w14:paraId="62C99679">
      <w:pPr>
        <w:keepNext w:val="0"/>
        <w:keepLines w:val="0"/>
        <w:pageBreakBefore w:val="0"/>
        <w:widowControl w:val="0"/>
        <w:kinsoku/>
        <w:wordWrap/>
        <w:overflowPunct/>
        <w:topLinePunct w:val="0"/>
        <w:autoSpaceDE/>
        <w:autoSpaceDN/>
        <w:bidi w:val="0"/>
        <w:adjustRightInd/>
        <w:spacing w:line="480" w:lineRule="exact"/>
        <w:ind w:right="-134" w:rightChars="-64" w:firstLine="482" w:firstLineChars="200"/>
        <w:jc w:val="left"/>
        <w:textAlignment w:val="auto"/>
        <w:rPr>
          <w:rFonts w:hint="eastAsia" w:ascii="宋体" w:hAnsi="宋体" w:eastAsia="宋体" w:cs="宋体"/>
          <w:b/>
          <w:kern w:val="0"/>
          <w:sz w:val="24"/>
          <w:lang w:eastAsia="zh-CN"/>
        </w:rPr>
      </w:pPr>
      <w:r>
        <w:rPr>
          <w:rFonts w:hint="eastAsia" w:ascii="宋体" w:hAnsi="宋体" w:cs="宋体"/>
          <w:b/>
          <w:kern w:val="0"/>
          <w:sz w:val="24"/>
        </w:rPr>
        <w:t>3、项目整体用途、功能目标</w:t>
      </w:r>
    </w:p>
    <w:p w14:paraId="34D93A5D">
      <w:pPr>
        <w:pStyle w:val="3"/>
        <w:keepNext w:val="0"/>
        <w:keepLines w:val="0"/>
        <w:pageBreakBefore w:val="0"/>
        <w:widowControl w:val="0"/>
        <w:kinsoku/>
        <w:wordWrap/>
        <w:overflowPunct/>
        <w:topLinePunct w:val="0"/>
        <w:autoSpaceDE/>
        <w:autoSpaceDN/>
        <w:bidi w:val="0"/>
        <w:adjustRightInd/>
        <w:snapToGrid/>
        <w:spacing w:line="351" w:lineRule="auto"/>
        <w:ind w:firstLine="482"/>
        <w:jc w:val="both"/>
        <w:textAlignment w:val="auto"/>
        <w:rPr>
          <w:rFonts w:hint="eastAsia" w:ascii="宋体" w:hAnsi="宋体" w:eastAsia="宋体" w:cs="Times New Roman"/>
          <w:kern w:val="2"/>
          <w:sz w:val="24"/>
          <w:szCs w:val="24"/>
          <w:lang w:val="en-US" w:eastAsia="zh-CN" w:bidi="ar-SA"/>
        </w:rPr>
      </w:pPr>
      <w:bookmarkStart w:id="0" w:name="_Hlk505003689"/>
      <w:r>
        <w:rPr>
          <w:rFonts w:hint="eastAsia" w:ascii="宋体" w:hAnsi="宋体" w:eastAsia="宋体" w:cs="Times New Roman"/>
          <w:kern w:val="2"/>
          <w:sz w:val="24"/>
          <w:szCs w:val="24"/>
          <w:lang w:val="en-US" w:eastAsia="zh-CN" w:bidi="ar-SA"/>
        </w:rPr>
        <w:t>通过此项目的建设，发挥教学改革示范作用，提高学校的教学质量。教室建成后，能保证课程改革的顺利开展，同时也能够为教师提供一个良好的教研与实践环境。能够实现一体化教学，充分发挥微景观景实训室在教学中积极作用，提高学生学习兴趣和对专业知识的认识，满足教学和教科研需要。</w:t>
      </w:r>
    </w:p>
    <w:bookmarkEnd w:id="0"/>
    <w:p w14:paraId="3B997D47">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bCs/>
          <w:kern w:val="0"/>
          <w:sz w:val="24"/>
        </w:rPr>
      </w:pPr>
      <w:r>
        <w:rPr>
          <w:rFonts w:hint="eastAsia" w:ascii="宋体" w:hAnsi="宋体" w:cs="宋体"/>
          <w:bCs/>
          <w:kern w:val="0"/>
          <w:sz w:val="24"/>
        </w:rPr>
        <w:t xml:space="preserve">    </w:t>
      </w:r>
      <w:r>
        <w:rPr>
          <w:rFonts w:hint="eastAsia" w:ascii="宋体" w:hAnsi="宋体" w:cs="宋体"/>
          <w:b/>
          <w:kern w:val="0"/>
          <w:sz w:val="24"/>
        </w:rPr>
        <w:t>二、供应商资格条件</w:t>
      </w:r>
    </w:p>
    <w:p w14:paraId="56C9C388">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hint="eastAsia" w:ascii="宋体" w:hAnsi="宋体" w:cs="宋体"/>
          <w:bCs/>
          <w:kern w:val="0"/>
          <w:sz w:val="24"/>
        </w:rPr>
      </w:pPr>
      <w:r>
        <w:rPr>
          <w:rFonts w:hint="eastAsia" w:ascii="宋体" w:hAnsi="宋体" w:cs="宋体"/>
          <w:bCs/>
          <w:kern w:val="0"/>
          <w:sz w:val="24"/>
        </w:rPr>
        <w:t>1.投标人应具备《中华人民共和国政府采购法》第二十二条规定的条件。</w:t>
      </w:r>
    </w:p>
    <w:p w14:paraId="0C9C6CFD">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hint="eastAsia" w:ascii="宋体" w:hAnsi="宋体" w:cs="宋体"/>
          <w:bCs/>
          <w:kern w:val="0"/>
          <w:sz w:val="24"/>
        </w:rPr>
      </w:pPr>
      <w:r>
        <w:rPr>
          <w:rFonts w:hint="eastAsia" w:ascii="宋体" w:hAnsi="宋体" w:cs="宋体"/>
          <w:bCs/>
          <w:kern w:val="0"/>
          <w:sz w:val="24"/>
        </w:rPr>
        <w:t>2.投标人应是在中华人民共和国境内合法注册的、具备本项目经营范围的独立法人。</w:t>
      </w:r>
    </w:p>
    <w:p w14:paraId="43D548B0">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hint="eastAsia" w:ascii="宋体" w:hAnsi="宋体" w:cs="宋体"/>
          <w:bCs/>
          <w:kern w:val="0"/>
          <w:sz w:val="24"/>
        </w:rPr>
      </w:pPr>
      <w:r>
        <w:rPr>
          <w:rFonts w:hint="eastAsia" w:ascii="宋体" w:hAnsi="宋体" w:cs="宋体"/>
          <w:bCs/>
          <w:kern w:val="0"/>
          <w:sz w:val="24"/>
        </w:rPr>
        <w:t>3.有固定的经营地点，拥有良好的信誉、经营业绩和售后服务。</w:t>
      </w:r>
    </w:p>
    <w:p w14:paraId="6CD415CF">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hint="eastAsia" w:ascii="宋体" w:hAnsi="宋体" w:cs="宋体"/>
          <w:bCs/>
          <w:kern w:val="0"/>
          <w:sz w:val="24"/>
        </w:rPr>
      </w:pPr>
      <w:r>
        <w:rPr>
          <w:rFonts w:hint="eastAsia" w:ascii="宋体" w:hAnsi="宋体" w:cs="宋体"/>
          <w:bCs/>
          <w:kern w:val="0"/>
          <w:sz w:val="24"/>
        </w:rPr>
        <w:t>4.近三年内无重大质量投诉事故、不良记录、经济纠纷及安全责任事故（提供信用中国查询结果截图）。</w:t>
      </w:r>
    </w:p>
    <w:p w14:paraId="0259EFAD">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hint="eastAsia" w:ascii="宋体" w:hAnsi="宋体" w:cs="宋体"/>
          <w:bCs/>
          <w:kern w:val="0"/>
          <w:sz w:val="24"/>
        </w:rPr>
      </w:pPr>
      <w:r>
        <w:rPr>
          <w:rFonts w:hint="eastAsia" w:ascii="宋体" w:hAnsi="宋体" w:cs="宋体"/>
          <w:bCs/>
          <w:kern w:val="0"/>
          <w:sz w:val="24"/>
        </w:rPr>
        <w:t>5.本项目不接受联合体投标，不允许分包。</w:t>
      </w:r>
    </w:p>
    <w:p w14:paraId="2F98ABB7">
      <w:pPr>
        <w:keepNext w:val="0"/>
        <w:keepLines w:val="0"/>
        <w:pageBreakBefore w:val="0"/>
        <w:widowControl w:val="0"/>
        <w:kinsoku/>
        <w:wordWrap/>
        <w:overflowPunct/>
        <w:topLinePunct w:val="0"/>
        <w:autoSpaceDE/>
        <w:autoSpaceDN/>
        <w:bidi w:val="0"/>
        <w:adjustRightInd/>
        <w:snapToGrid w:val="0"/>
        <w:spacing w:line="480" w:lineRule="exact"/>
        <w:ind w:firstLine="480"/>
        <w:textAlignment w:val="auto"/>
        <w:rPr>
          <w:rFonts w:ascii="宋体" w:hAnsi="宋体" w:cs="宋体"/>
          <w:b/>
          <w:kern w:val="0"/>
          <w:sz w:val="24"/>
        </w:rPr>
      </w:pPr>
      <w:r>
        <w:rPr>
          <w:rFonts w:hint="eastAsia" w:ascii="宋体" w:hAnsi="宋体" w:cs="宋体"/>
          <w:b/>
          <w:kern w:val="0"/>
          <w:sz w:val="24"/>
        </w:rPr>
        <w:t xml:space="preserve">三、采购清单 </w:t>
      </w:r>
    </w:p>
    <w:tbl>
      <w:tblPr>
        <w:tblStyle w:val="5"/>
        <w:tblW w:w="4836" w:type="pct"/>
        <w:tblInd w:w="14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4278"/>
        <w:gridCol w:w="2143"/>
        <w:gridCol w:w="1470"/>
      </w:tblGrid>
      <w:tr w14:paraId="7446C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E9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8E12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4C04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F4D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7CD68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9E6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9E8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教室讲桌</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C079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张</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266E4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483A4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1DE3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44F96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教师椅</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7DC8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05F7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6F364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292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557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安全交换网关</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442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C01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D171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91C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AF42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千兆交换机</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68D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2935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495D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524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4828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六类网络线</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ED8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米</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40C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t>
            </w:r>
          </w:p>
        </w:tc>
      </w:tr>
      <w:tr w14:paraId="6AD00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2B5F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55B6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设备机柜</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546D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E4D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394A8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6BAC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A3FE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86寸智慧黑板</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3FB4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56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48C1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0D3A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673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智能音频主机</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C86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646B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1953D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500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4DD9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教师拾音麦克风</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83C7F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2EFA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C940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8FD8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10</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5BE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高保真扩声音箱</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538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对</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1E8B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5A32C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6B876">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11</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A6B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微景观制作台具（60*45*45cm）</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8EB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6645C">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r>
      <w:tr w14:paraId="7D50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E019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12</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4D288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微景观制作台具（80*45*45cm）</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921A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7C7A5">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r>
      <w:tr w14:paraId="0FF3D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FBB3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13</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FA97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微景观制作台具（100*45*45cm）</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5440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B694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p>
        </w:tc>
      </w:tr>
      <w:tr w14:paraId="06B7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B4813">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14</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927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多功能产品展示柜</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8859B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平方</w:t>
            </w:r>
            <w:r>
              <w:rPr>
                <w:rFonts w:hint="eastAsia" w:ascii="宋体" w:hAnsi="宋体" w:cs="宋体"/>
                <w:i w:val="0"/>
                <w:iCs w:val="0"/>
                <w:color w:val="000000"/>
                <w:kern w:val="0"/>
                <w:sz w:val="21"/>
                <w:szCs w:val="21"/>
                <w:u w:val="none"/>
                <w:lang w:val="en-US" w:eastAsia="zh-CN" w:bidi="ar"/>
              </w:rPr>
              <w:t>米</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75B1F">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w:t>
            </w:r>
            <w:r>
              <w:rPr>
                <w:rFonts w:hint="eastAsia" w:ascii="宋体" w:hAnsi="宋体" w:eastAsia="宋体" w:cs="宋体"/>
                <w:i w:val="0"/>
                <w:iCs w:val="0"/>
                <w:color w:val="000000"/>
                <w:kern w:val="0"/>
                <w:sz w:val="21"/>
                <w:szCs w:val="21"/>
                <w:u w:val="none"/>
                <w:lang w:val="en-US" w:eastAsia="zh-CN" w:bidi="ar"/>
              </w:rPr>
              <w:t>0</w:t>
            </w:r>
          </w:p>
        </w:tc>
      </w:tr>
      <w:tr w14:paraId="364D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A8C25">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15</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C19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台式展示柜</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7277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张</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824C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r w14:paraId="23637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4F094">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16</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C19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窗帘及窗帘盒</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253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9E0D7">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r>
      <w:tr w14:paraId="68B7E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522A9">
            <w:pPr>
              <w:keepNext w:val="0"/>
              <w:keepLines w:val="0"/>
              <w:widowControl/>
              <w:suppressLineNumbers w:val="0"/>
              <w:jc w:val="center"/>
              <w:textAlignment w:val="center"/>
              <w:rPr>
                <w:rFonts w:hint="default" w:cs="Times New Roman"/>
                <w:i w:val="0"/>
                <w:iCs w:val="0"/>
                <w:color w:val="000000"/>
                <w:kern w:val="0"/>
                <w:sz w:val="21"/>
                <w:szCs w:val="21"/>
                <w:u w:val="none"/>
                <w:lang w:val="en-US" w:eastAsia="zh-CN" w:bidi="ar"/>
              </w:rPr>
            </w:pPr>
            <w:r>
              <w:rPr>
                <w:rFonts w:hint="eastAsia" w:cs="Times New Roman"/>
                <w:i w:val="0"/>
                <w:iCs w:val="0"/>
                <w:color w:val="000000"/>
                <w:kern w:val="0"/>
                <w:sz w:val="21"/>
                <w:szCs w:val="21"/>
                <w:u w:val="none"/>
                <w:lang w:val="en-US" w:eastAsia="zh-CN" w:bidi="ar"/>
              </w:rPr>
              <w:t>17</w:t>
            </w:r>
          </w:p>
        </w:tc>
        <w:tc>
          <w:tcPr>
            <w:tcW w:w="2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DBD960">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实训容器设备</w:t>
            </w:r>
          </w:p>
        </w:tc>
        <w:tc>
          <w:tcPr>
            <w:tcW w:w="12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6E2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批</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AD6AF3">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r>
    </w:tbl>
    <w:p w14:paraId="3A8B9006">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cs="宋体"/>
          <w:b/>
          <w:kern w:val="0"/>
          <w:sz w:val="24"/>
        </w:rPr>
      </w:pPr>
    </w:p>
    <w:p w14:paraId="0CABB5D5">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eastAsia" w:ascii="宋体" w:hAnsi="宋体"/>
          <w:b/>
          <w:sz w:val="24"/>
          <w:szCs w:val="21"/>
        </w:rPr>
      </w:pPr>
      <w:r>
        <w:rPr>
          <w:rFonts w:hint="eastAsia" w:ascii="宋体" w:hAnsi="宋体" w:cs="宋体"/>
          <w:b/>
          <w:kern w:val="0"/>
          <w:sz w:val="24"/>
        </w:rPr>
        <w:t>四、</w:t>
      </w:r>
      <w:r>
        <w:rPr>
          <w:rFonts w:hint="eastAsia" w:ascii="宋体" w:hAnsi="宋体" w:cs="宋体"/>
          <w:b/>
          <w:bCs/>
          <w:kern w:val="0"/>
          <w:sz w:val="24"/>
        </w:rPr>
        <w:t>技术参数及功能要求</w:t>
      </w:r>
    </w:p>
    <w:tbl>
      <w:tblPr>
        <w:tblStyle w:val="5"/>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955"/>
        <w:gridCol w:w="7278"/>
        <w:gridCol w:w="560"/>
      </w:tblGrid>
      <w:tr w14:paraId="636A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487" w:type="dxa"/>
            <w:noWrap w:val="0"/>
            <w:vAlign w:val="center"/>
          </w:tcPr>
          <w:p w14:paraId="54A9B916">
            <w:pPr>
              <w:spacing w:before="156" w:after="156" w:line="240" w:lineRule="exact"/>
              <w:jc w:val="center"/>
              <w:rPr>
                <w:rFonts w:hint="eastAsia" w:ascii="宋体" w:hAnsi="宋体"/>
                <w:b/>
                <w:szCs w:val="21"/>
              </w:rPr>
            </w:pPr>
            <w:r>
              <w:rPr>
                <w:rFonts w:hint="eastAsia" w:ascii="宋体" w:hAnsi="宋体"/>
                <w:b/>
                <w:szCs w:val="21"/>
              </w:rPr>
              <w:t>序号</w:t>
            </w:r>
          </w:p>
        </w:tc>
        <w:tc>
          <w:tcPr>
            <w:tcW w:w="955" w:type="dxa"/>
            <w:noWrap w:val="0"/>
            <w:vAlign w:val="center"/>
          </w:tcPr>
          <w:p w14:paraId="19DCCC74">
            <w:pPr>
              <w:spacing w:before="156" w:after="156" w:line="240" w:lineRule="exact"/>
              <w:jc w:val="center"/>
              <w:rPr>
                <w:rFonts w:hint="eastAsia" w:ascii="宋体" w:hAnsi="宋体"/>
                <w:b/>
                <w:szCs w:val="21"/>
              </w:rPr>
            </w:pPr>
            <w:r>
              <w:rPr>
                <w:rFonts w:hint="eastAsia" w:ascii="宋体" w:hAnsi="宋体"/>
                <w:b/>
                <w:szCs w:val="21"/>
              </w:rPr>
              <w:t>货物名称</w:t>
            </w:r>
          </w:p>
        </w:tc>
        <w:tc>
          <w:tcPr>
            <w:tcW w:w="7278" w:type="dxa"/>
            <w:noWrap w:val="0"/>
            <w:vAlign w:val="center"/>
          </w:tcPr>
          <w:p w14:paraId="28EEF67A">
            <w:pPr>
              <w:spacing w:before="156" w:after="156" w:line="240" w:lineRule="exact"/>
              <w:jc w:val="center"/>
              <w:rPr>
                <w:rFonts w:hint="eastAsia" w:ascii="宋体" w:hAnsi="宋体"/>
                <w:b/>
                <w:szCs w:val="21"/>
              </w:rPr>
            </w:pPr>
            <w:r>
              <w:rPr>
                <w:rFonts w:hint="eastAsia" w:ascii="宋体" w:hAnsi="宋体"/>
                <w:b/>
                <w:szCs w:val="21"/>
              </w:rPr>
              <w:t>技术参数及功能要求</w:t>
            </w:r>
          </w:p>
        </w:tc>
        <w:tc>
          <w:tcPr>
            <w:tcW w:w="560" w:type="dxa"/>
            <w:noWrap w:val="0"/>
            <w:vAlign w:val="center"/>
          </w:tcPr>
          <w:p w14:paraId="2F4AC77A">
            <w:pPr>
              <w:spacing w:before="156" w:after="156" w:line="240" w:lineRule="exact"/>
              <w:jc w:val="center"/>
              <w:rPr>
                <w:rFonts w:hint="eastAsia" w:ascii="宋体" w:hAnsi="宋体"/>
                <w:b/>
                <w:szCs w:val="21"/>
              </w:rPr>
            </w:pPr>
            <w:r>
              <w:rPr>
                <w:rFonts w:hint="eastAsia" w:ascii="宋体" w:hAnsi="宋体"/>
                <w:b/>
                <w:szCs w:val="21"/>
              </w:rPr>
              <w:t>备注</w:t>
            </w:r>
          </w:p>
        </w:tc>
      </w:tr>
      <w:tr w14:paraId="11021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53DF7858">
            <w:pPr>
              <w:pStyle w:val="16"/>
              <w:spacing w:before="3"/>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955" w:type="dxa"/>
            <w:noWrap w:val="0"/>
            <w:vAlign w:val="center"/>
          </w:tcPr>
          <w:p w14:paraId="35E9A6A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教师讲台</w:t>
            </w:r>
          </w:p>
        </w:tc>
        <w:tc>
          <w:tcPr>
            <w:tcW w:w="7278" w:type="dxa"/>
            <w:noWrap w:val="0"/>
            <w:vAlign w:val="center"/>
          </w:tcPr>
          <w:p w14:paraId="6917B6F0">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1.盖门采取翻转方式。</w:t>
            </w:r>
          </w:p>
          <w:p w14:paraId="6C2EC671">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.钢木</w:t>
            </w:r>
            <w:bookmarkStart w:id="1" w:name="_GoBack"/>
            <w:r>
              <w:rPr>
                <w:rFonts w:hint="eastAsia" w:ascii="宋体" w:hAnsi="宋体" w:eastAsia="宋体" w:cs="宋体"/>
                <w:i w:val="0"/>
                <w:iCs w:val="0"/>
                <w:color w:val="000000"/>
                <w:kern w:val="0"/>
                <w:sz w:val="21"/>
                <w:szCs w:val="21"/>
                <w:u w:val="none"/>
                <w:lang w:val="en-US" w:eastAsia="zh-CN" w:bidi="ar"/>
              </w:rPr>
              <w:t>结合材料</w:t>
            </w:r>
            <w:bookmarkEnd w:id="1"/>
            <w:r>
              <w:rPr>
                <w:rFonts w:hint="eastAsia" w:ascii="宋体" w:hAnsi="宋体" w:eastAsia="宋体" w:cs="宋体"/>
                <w:i w:val="0"/>
                <w:iCs w:val="0"/>
                <w:color w:val="000000"/>
                <w:kern w:val="0"/>
                <w:sz w:val="21"/>
                <w:szCs w:val="21"/>
                <w:u w:val="none"/>
                <w:lang w:val="en-US" w:eastAsia="zh-CN" w:bidi="ar"/>
              </w:rPr>
              <w:t>一体成型；桌体采用1.2-1.5MM优质冷轧钢板，实木扶手桌面</w:t>
            </w:r>
            <w:r>
              <w:rPr>
                <w:rFonts w:hint="eastAsia" w:ascii="宋体" w:hAnsi="宋体" w:cs="宋体"/>
                <w:i w:val="0"/>
                <w:iCs w:val="0"/>
                <w:color w:val="000000"/>
                <w:kern w:val="0"/>
                <w:sz w:val="21"/>
                <w:szCs w:val="21"/>
                <w:u w:val="none"/>
                <w:lang w:val="en-US" w:eastAsia="zh-CN" w:bidi="ar"/>
              </w:rPr>
              <w:t>木质</w:t>
            </w:r>
            <w:r>
              <w:rPr>
                <w:rFonts w:hint="eastAsia" w:ascii="宋体" w:hAnsi="宋体" w:eastAsia="宋体" w:cs="宋体"/>
                <w:i w:val="0"/>
                <w:iCs w:val="0"/>
                <w:color w:val="000000"/>
                <w:kern w:val="0"/>
                <w:sz w:val="21"/>
                <w:szCs w:val="21"/>
                <w:u w:val="none"/>
                <w:lang w:val="en-US" w:eastAsia="zh-CN" w:bidi="ar"/>
              </w:rPr>
              <w:t>耐划台面；全封闭式结构。</w:t>
            </w:r>
          </w:p>
          <w:p w14:paraId="6205AA5A">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.液晶显示器采用翻转设计，显示器角度任意调节，可使视线和显示器接近垂直，可安装17-24寸显示器，关闭后所有设备都隐藏在讲台内。</w:t>
            </w:r>
          </w:p>
          <w:p w14:paraId="2E33EFD0">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4.键盘采用翻转式操作，显示器、中央控制系统、键盘互不影响独立操作。</w:t>
            </w:r>
          </w:p>
          <w:p w14:paraId="232C6D31">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default" w:ascii="宋体" w:hAnsi="宋体" w:eastAsia="宋体" w:cs="宋体"/>
                <w:i w:val="0"/>
                <w:iCs w:val="0"/>
                <w:color w:val="000000"/>
                <w:kern w:val="0"/>
                <w:sz w:val="21"/>
                <w:szCs w:val="21"/>
                <w:u w:val="none"/>
                <w:lang w:val="en-US" w:eastAsia="zh-CN" w:bidi="ar"/>
              </w:rPr>
              <w:t>讲台右侧面设有移门导轨抽拉式抽屉，用于放置实物展示台，抽屉空间支持市面上任一品牌任一型号的展台的放入。</w:t>
            </w:r>
          </w:p>
          <w:p w14:paraId="5FE9CEA4">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.讲桌桌体采用开合式小柜门设计，不必打开大柜门，即可经由计算机光驱播放光碟等。</w:t>
            </w:r>
          </w:p>
          <w:p w14:paraId="565FC366">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7.</w:t>
            </w:r>
            <w:r>
              <w:rPr>
                <w:rFonts w:hint="eastAsia" w:ascii="宋体" w:hAnsi="宋体" w:eastAsia="宋体" w:cs="宋体"/>
                <w:i w:val="0"/>
                <w:iCs w:val="0"/>
                <w:color w:val="000000"/>
                <w:kern w:val="0"/>
                <w:sz w:val="21"/>
                <w:szCs w:val="21"/>
                <w:u w:val="none"/>
                <w:lang w:val="en-US" w:eastAsia="zh-CN" w:bidi="ar"/>
              </w:rPr>
              <w:t>桌体下层内部采用标准机柜设计，带层板，可任意调节</w:t>
            </w:r>
            <w:r>
              <w:rPr>
                <w:rFonts w:hint="eastAsia" w:ascii="宋体" w:hAnsi="宋体" w:cs="宋体"/>
                <w:i w:val="0"/>
                <w:iCs w:val="0"/>
                <w:color w:val="000000"/>
                <w:kern w:val="0"/>
                <w:sz w:val="21"/>
                <w:szCs w:val="21"/>
                <w:u w:val="none"/>
                <w:lang w:val="en-US" w:eastAsia="zh-CN" w:bidi="ar"/>
              </w:rPr>
              <w:t>；</w:t>
            </w:r>
            <w:r>
              <w:rPr>
                <w:rFonts w:hint="default"/>
                <w:lang w:val="en-US" w:eastAsia="zh-CN"/>
              </w:rPr>
              <w:t>带有安全锁，锁具采用优质锁。</w:t>
            </w:r>
          </w:p>
          <w:p w14:paraId="2698E7B0">
            <w:pPr>
              <w:spacing w:line="360" w:lineRule="auto"/>
              <w:jc w:val="left"/>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8. 参考图示</w:t>
            </w:r>
          </w:p>
          <w:p w14:paraId="1AAB1F0B">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60288" behindDoc="0" locked="0" layoutInCell="1" allowOverlap="1">
                  <wp:simplePos x="0" y="0"/>
                  <wp:positionH relativeFrom="column">
                    <wp:posOffset>2286000</wp:posOffset>
                  </wp:positionH>
                  <wp:positionV relativeFrom="paragraph">
                    <wp:posOffset>50800</wp:posOffset>
                  </wp:positionV>
                  <wp:extent cx="1632585" cy="1616710"/>
                  <wp:effectExtent l="0" t="0" r="5715" b="2540"/>
                  <wp:wrapSquare wrapText="bothSides"/>
                  <wp:docPr id="4" name="图片 2" descr="1718372069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718372069254"/>
                          <pic:cNvPicPr>
                            <a:picLocks noChangeAspect="1"/>
                          </pic:cNvPicPr>
                        </pic:nvPicPr>
                        <pic:blipFill>
                          <a:blip r:embed="rId6"/>
                          <a:stretch>
                            <a:fillRect/>
                          </a:stretch>
                        </pic:blipFill>
                        <pic:spPr>
                          <a:xfrm>
                            <a:off x="0" y="0"/>
                            <a:ext cx="1632585" cy="161671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drawing>
                <wp:inline distT="0" distB="0" distL="114300" distR="114300">
                  <wp:extent cx="2347595" cy="1648460"/>
                  <wp:effectExtent l="0" t="0" r="14605" b="12700"/>
                  <wp:docPr id="2" name="图片 1" descr="1718371883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1718371883136"/>
                          <pic:cNvPicPr>
                            <a:picLocks noChangeAspect="1"/>
                          </pic:cNvPicPr>
                        </pic:nvPicPr>
                        <pic:blipFill>
                          <a:blip r:embed="rId7"/>
                          <a:stretch>
                            <a:fillRect/>
                          </a:stretch>
                        </pic:blipFill>
                        <pic:spPr>
                          <a:xfrm>
                            <a:off x="0" y="0"/>
                            <a:ext cx="2347595" cy="1648460"/>
                          </a:xfrm>
                          <a:prstGeom prst="rect">
                            <a:avLst/>
                          </a:prstGeom>
                          <a:noFill/>
                          <a:ln>
                            <a:noFill/>
                          </a:ln>
                        </pic:spPr>
                      </pic:pic>
                    </a:graphicData>
                  </a:graphic>
                </wp:inline>
              </w:drawing>
            </w:r>
          </w:p>
        </w:tc>
        <w:tc>
          <w:tcPr>
            <w:tcW w:w="560" w:type="dxa"/>
            <w:noWrap w:val="0"/>
            <w:vAlign w:val="top"/>
          </w:tcPr>
          <w:p w14:paraId="4F9DC7B0">
            <w:pPr>
              <w:pStyle w:val="16"/>
              <w:rPr>
                <w:rFonts w:hint="eastAsia" w:ascii="宋体" w:hAnsi="宋体" w:eastAsia="宋体" w:cs="宋体"/>
                <w:i w:val="0"/>
                <w:iCs w:val="0"/>
                <w:color w:val="000000"/>
                <w:kern w:val="0"/>
                <w:sz w:val="21"/>
                <w:szCs w:val="21"/>
                <w:u w:val="none"/>
                <w:lang w:val="en-US" w:eastAsia="zh-CN" w:bidi="ar"/>
              </w:rPr>
            </w:pPr>
          </w:p>
        </w:tc>
      </w:tr>
      <w:tr w14:paraId="7EFC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02D4E7F1">
            <w:pPr>
              <w:pStyle w:val="16"/>
              <w:spacing w:before="3"/>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955" w:type="dxa"/>
            <w:noWrap w:val="0"/>
            <w:vAlign w:val="center"/>
          </w:tcPr>
          <w:p w14:paraId="08B712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教师椅</w:t>
            </w:r>
          </w:p>
        </w:tc>
        <w:tc>
          <w:tcPr>
            <w:tcW w:w="7278" w:type="dxa"/>
            <w:noWrap w:val="0"/>
            <w:vAlign w:val="center"/>
          </w:tcPr>
          <w:p w14:paraId="1B6D916D">
            <w:pPr>
              <w:numPr>
                <w:ilvl w:val="0"/>
                <w:numId w:val="1"/>
              </w:num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靠背：原生PP材质+透气网布；</w:t>
            </w:r>
          </w:p>
          <w:p w14:paraId="0F1A7C24">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 坐垫：透气网布、海绵+木板；</w:t>
            </w:r>
          </w:p>
          <w:p w14:paraId="0D0946E7">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 扶手：PP材质</w:t>
            </w:r>
          </w:p>
          <w:p w14:paraId="5B42E4B2">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 底盘：2.5MM加厚钢板底盘</w:t>
            </w:r>
          </w:p>
          <w:p w14:paraId="32D18851">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 气压杆：可升降高纯度氮气加厚防爆气压杆</w:t>
            </w:r>
          </w:p>
          <w:p w14:paraId="52C7EA08">
            <w:pPr>
              <w:spacing w:line="360" w:lineRule="auto"/>
              <w:jc w:val="left"/>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 椅脚：五星尼龙脚轮</w:t>
            </w:r>
          </w:p>
          <w:p w14:paraId="66D7A316">
            <w:pPr>
              <w:spacing w:line="360" w:lineRule="auto"/>
              <w:jc w:val="left"/>
              <w:rPr>
                <w:rFonts w:hint="eastAsia" w:ascii="Times New Roman" w:hAnsi="Times New Roman" w:eastAsia="宋体" w:cs="Times New Roman"/>
                <w:lang w:val="en-US" w:eastAsia="zh-CN"/>
              </w:rPr>
            </w:pPr>
            <w:r>
              <w:rPr>
                <w:rFonts w:hint="eastAsia" w:ascii="宋体" w:hAnsi="宋体" w:eastAsia="宋体" w:cs="宋体"/>
                <w:i w:val="0"/>
                <w:iCs w:val="0"/>
                <w:color w:val="000000"/>
                <w:kern w:val="0"/>
                <w:sz w:val="21"/>
                <w:szCs w:val="21"/>
                <w:u w:val="none"/>
                <w:lang w:val="en-US" w:eastAsia="zh-CN" w:bidi="ar"/>
              </w:rPr>
              <w:t>7. 参</w:t>
            </w:r>
            <w:r>
              <w:rPr>
                <w:rFonts w:hint="eastAsia" w:ascii="Times New Roman" w:hAnsi="Times New Roman" w:eastAsia="宋体" w:cs="Times New Roman"/>
                <w:lang w:val="en-US" w:eastAsia="zh-CN"/>
              </w:rPr>
              <w:t>考图示</w:t>
            </w:r>
          </w:p>
          <w:p w14:paraId="5A3E8F47">
            <w:pPr>
              <w:spacing w:line="360" w:lineRule="auto"/>
              <w:jc w:val="both"/>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drawing>
                <wp:anchor distT="0" distB="0" distL="114300" distR="114300" simplePos="0" relativeHeight="251659264" behindDoc="0" locked="0" layoutInCell="1" allowOverlap="1">
                  <wp:simplePos x="0" y="0"/>
                  <wp:positionH relativeFrom="column">
                    <wp:posOffset>-24130</wp:posOffset>
                  </wp:positionH>
                  <wp:positionV relativeFrom="paragraph">
                    <wp:posOffset>26670</wp:posOffset>
                  </wp:positionV>
                  <wp:extent cx="1100455" cy="1676400"/>
                  <wp:effectExtent l="0" t="0" r="12065" b="0"/>
                  <wp:wrapSquare wrapText="bothSides"/>
                  <wp:docPr id="6" name="图片 6" descr="171837290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18372900204"/>
                          <pic:cNvPicPr>
                            <a:picLocks noChangeAspect="1"/>
                          </pic:cNvPicPr>
                        </pic:nvPicPr>
                        <pic:blipFill>
                          <a:blip r:embed="rId8"/>
                          <a:stretch>
                            <a:fillRect/>
                          </a:stretch>
                        </pic:blipFill>
                        <pic:spPr>
                          <a:xfrm>
                            <a:off x="0" y="0"/>
                            <a:ext cx="1100455" cy="1676400"/>
                          </a:xfrm>
                          <a:prstGeom prst="rect">
                            <a:avLst/>
                          </a:prstGeom>
                          <a:noFill/>
                          <a:ln>
                            <a:noFill/>
                          </a:ln>
                        </pic:spPr>
                      </pic:pic>
                    </a:graphicData>
                  </a:graphic>
                </wp:anchor>
              </w:drawing>
            </w:r>
          </w:p>
        </w:tc>
        <w:tc>
          <w:tcPr>
            <w:tcW w:w="560" w:type="dxa"/>
            <w:noWrap w:val="0"/>
            <w:vAlign w:val="top"/>
          </w:tcPr>
          <w:p w14:paraId="309BEE7D">
            <w:pPr>
              <w:pStyle w:val="16"/>
              <w:rPr>
                <w:rFonts w:hint="eastAsia" w:ascii="宋体" w:hAnsi="宋体" w:eastAsia="宋体" w:cs="宋体"/>
                <w:i w:val="0"/>
                <w:iCs w:val="0"/>
                <w:color w:val="000000"/>
                <w:kern w:val="0"/>
                <w:sz w:val="21"/>
                <w:szCs w:val="21"/>
                <w:u w:val="none"/>
                <w:lang w:val="en-US" w:eastAsia="zh-CN" w:bidi="ar"/>
              </w:rPr>
            </w:pPr>
          </w:p>
        </w:tc>
      </w:tr>
      <w:tr w14:paraId="66FEB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784252BF">
            <w:pPr>
              <w:pStyle w:val="16"/>
              <w:ind w:right="321"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955" w:type="dxa"/>
            <w:noWrap w:val="0"/>
            <w:vAlign w:val="center"/>
          </w:tcPr>
          <w:p w14:paraId="0C9A1C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安全交换网关</w:t>
            </w:r>
          </w:p>
        </w:tc>
        <w:tc>
          <w:tcPr>
            <w:tcW w:w="7278" w:type="dxa"/>
            <w:noWrap w:val="0"/>
            <w:vAlign w:val="center"/>
          </w:tcPr>
          <w:p w14:paraId="6A58DB2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1.支持固化千兆电口≥5个，内置存储不小于4GB；</w:t>
            </w:r>
          </w:p>
          <w:p w14:paraId="48B13C75">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2.支持静态路由、RIP(V1/V2)、OSPF等多种路由协议；</w:t>
            </w:r>
          </w:p>
          <w:p w14:paraId="0CE893C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3.要求所投产品支持应用路由功能，支持基于通讯、视频等应用进行路由选择，应用路由流量分支明细及命中情况可通过图表呈现；</w:t>
            </w:r>
          </w:p>
          <w:p w14:paraId="0DBE9FC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4.要求所投产品支持线路流量逃生，定时探测线路是否正常。在线路异常时，及时将该线路DOWN掉，使得应用能够从正常线路出去；</w:t>
            </w:r>
          </w:p>
          <w:p w14:paraId="728E11A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5.支持流量识别保障功能：能够精确识别网络应用，保障关键业务的系统带宽，具备完善的应用协议库；</w:t>
            </w:r>
          </w:p>
          <w:p w14:paraId="3F16A9B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6.★支持IPsecVPN和SSLVPN协议，支持VPN限速以及VPN拓扑自动生成功能；</w:t>
            </w:r>
          </w:p>
          <w:p w14:paraId="0D734F6F">
            <w:pPr>
              <w:spacing w:line="360" w:lineRule="auto"/>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7.★具备针对用户对象、时间对象、指定流控策略、支持VPN内的流量控制；</w:t>
            </w:r>
          </w:p>
          <w:p w14:paraId="13A5CB4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8.可设置无线用户黑白名单，支持二层用户隔离，WIFI隐藏，关闭网络时间，优先接入5G网络功能，支持AP状态信息查看，支持AP批量升级，支持反制非法AP。</w:t>
            </w:r>
          </w:p>
        </w:tc>
        <w:tc>
          <w:tcPr>
            <w:tcW w:w="560" w:type="dxa"/>
            <w:noWrap w:val="0"/>
            <w:vAlign w:val="top"/>
          </w:tcPr>
          <w:p w14:paraId="2B4205BC">
            <w:pPr>
              <w:pStyle w:val="16"/>
              <w:rPr>
                <w:rFonts w:hint="eastAsia" w:ascii="宋体" w:hAnsi="宋体" w:eastAsia="宋体" w:cs="宋体"/>
                <w:i w:val="0"/>
                <w:iCs w:val="0"/>
                <w:color w:val="000000"/>
                <w:kern w:val="0"/>
                <w:sz w:val="21"/>
                <w:szCs w:val="21"/>
                <w:u w:val="none"/>
                <w:lang w:val="en-US" w:eastAsia="zh-CN" w:bidi="ar"/>
              </w:rPr>
            </w:pPr>
          </w:p>
        </w:tc>
      </w:tr>
      <w:tr w14:paraId="72FE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noWrap w:val="0"/>
            <w:vAlign w:val="center"/>
          </w:tcPr>
          <w:p w14:paraId="6A4C95FE">
            <w:pPr>
              <w:pStyle w:val="16"/>
              <w:ind w:right="321"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4</w:t>
            </w:r>
          </w:p>
        </w:tc>
        <w:tc>
          <w:tcPr>
            <w:tcW w:w="955" w:type="dxa"/>
            <w:noWrap w:val="0"/>
            <w:vAlign w:val="center"/>
          </w:tcPr>
          <w:p w14:paraId="2C175763">
            <w:pPr>
              <w:spacing w:line="360"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交换机</w:t>
            </w:r>
          </w:p>
        </w:tc>
        <w:tc>
          <w:tcPr>
            <w:tcW w:w="7278" w:type="dxa"/>
            <w:noWrap w:val="0"/>
            <w:vAlign w:val="center"/>
          </w:tcPr>
          <w:p w14:paraId="5FB4F331">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千兆以太网交换机，背板带宽：32Gbps，包转发率：24Mpps，端口描述：16个千兆电口，支持端口状态显示、端口流量统计、端口双工/协商速率配置、流控配置，安全特性：支持广播风暴抑制、端口限速、端口隔离，</w:t>
            </w:r>
          </w:p>
          <w:p w14:paraId="563AAED7">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管理特性：支持通过WEB管理界面、MACC云平台、手机APP进行管理配置。</w:t>
            </w:r>
          </w:p>
        </w:tc>
        <w:tc>
          <w:tcPr>
            <w:tcW w:w="560" w:type="dxa"/>
            <w:noWrap w:val="0"/>
            <w:vAlign w:val="top"/>
          </w:tcPr>
          <w:p w14:paraId="6183E4E7">
            <w:pPr>
              <w:pStyle w:val="16"/>
              <w:rPr>
                <w:rFonts w:hint="eastAsia" w:ascii="宋体" w:hAnsi="宋体" w:eastAsia="宋体" w:cs="宋体"/>
                <w:i w:val="0"/>
                <w:iCs w:val="0"/>
                <w:color w:val="000000"/>
                <w:kern w:val="0"/>
                <w:sz w:val="21"/>
                <w:szCs w:val="21"/>
                <w:u w:val="none"/>
                <w:lang w:val="en-US" w:eastAsia="zh-CN" w:bidi="ar"/>
              </w:rPr>
            </w:pPr>
          </w:p>
        </w:tc>
      </w:tr>
      <w:tr w14:paraId="3E351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noWrap w:val="0"/>
            <w:vAlign w:val="center"/>
          </w:tcPr>
          <w:p w14:paraId="7875DF81">
            <w:pPr>
              <w:pStyle w:val="16"/>
              <w:ind w:right="321" w:rightChars="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  5</w:t>
            </w:r>
          </w:p>
        </w:tc>
        <w:tc>
          <w:tcPr>
            <w:tcW w:w="955" w:type="dxa"/>
            <w:noWrap w:val="0"/>
            <w:vAlign w:val="center"/>
          </w:tcPr>
          <w:p w14:paraId="6BACD6FC">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六类网线</w:t>
            </w:r>
          </w:p>
        </w:tc>
        <w:tc>
          <w:tcPr>
            <w:tcW w:w="7278" w:type="dxa"/>
            <w:noWrap w:val="0"/>
            <w:vAlign w:val="center"/>
          </w:tcPr>
          <w:p w14:paraId="39682360">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1.通过标准 250MHz 带宽测试要求 可扩展到 550MHz 带宽； </w:t>
            </w:r>
          </w:p>
          <w:p w14:paraId="5E242A01">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2.单根导体直流电阻：≤9.5Ω/100m，额定传输速率</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NVP</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 xml:space="preserve">：69%； </w:t>
            </w:r>
          </w:p>
          <w:p w14:paraId="0565A7A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3.电缆对数：4 对，十字骨架材料：PE 混合物； </w:t>
            </w:r>
          </w:p>
          <w:p w14:paraId="6327105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4.导体材料：无氧圆铜（纯度 99.99%）； </w:t>
            </w:r>
          </w:p>
          <w:p w14:paraId="44A869F8">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5.最小弯曲半径：10 倍电缆外径； </w:t>
            </w:r>
          </w:p>
          <w:p w14:paraId="4B795E8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 xml:space="preserve">6.线径：0.53 </w:t>
            </w:r>
          </w:p>
        </w:tc>
        <w:tc>
          <w:tcPr>
            <w:tcW w:w="560" w:type="dxa"/>
            <w:noWrap w:val="0"/>
            <w:vAlign w:val="top"/>
          </w:tcPr>
          <w:p w14:paraId="546EB0A0">
            <w:pPr>
              <w:pStyle w:val="16"/>
              <w:rPr>
                <w:rFonts w:hint="eastAsia" w:ascii="宋体" w:hAnsi="宋体" w:eastAsia="宋体" w:cs="宋体"/>
                <w:i w:val="0"/>
                <w:iCs w:val="0"/>
                <w:color w:val="000000"/>
                <w:kern w:val="0"/>
                <w:sz w:val="21"/>
                <w:szCs w:val="21"/>
                <w:u w:val="none"/>
                <w:lang w:val="en-US" w:eastAsia="zh-CN" w:bidi="ar"/>
              </w:rPr>
            </w:pPr>
          </w:p>
        </w:tc>
      </w:tr>
      <w:tr w14:paraId="3E37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noWrap w:val="0"/>
            <w:vAlign w:val="center"/>
          </w:tcPr>
          <w:p w14:paraId="2AD27669">
            <w:pPr>
              <w:pStyle w:val="16"/>
              <w:ind w:right="321" w:rightChars="0"/>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955" w:type="dxa"/>
            <w:noWrap w:val="0"/>
            <w:vAlign w:val="center"/>
          </w:tcPr>
          <w:p w14:paraId="7D49D0E9">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机柜</w:t>
            </w:r>
          </w:p>
        </w:tc>
        <w:tc>
          <w:tcPr>
            <w:tcW w:w="7278" w:type="dxa"/>
            <w:noWrap w:val="0"/>
            <w:vAlign w:val="center"/>
          </w:tcPr>
          <w:p w14:paraId="6D5DC7F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前门钢化玻璃或网孔；含PDU插座</w:t>
            </w:r>
          </w:p>
          <w:p w14:paraId="1B3B1B7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整体承重达到800 公斤；</w:t>
            </w:r>
          </w:p>
          <w:p w14:paraId="08982E45">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规格：600*600*1200MM。</w:t>
            </w:r>
          </w:p>
        </w:tc>
        <w:tc>
          <w:tcPr>
            <w:tcW w:w="560" w:type="dxa"/>
            <w:noWrap w:val="0"/>
            <w:vAlign w:val="top"/>
          </w:tcPr>
          <w:p w14:paraId="016748D5">
            <w:pPr>
              <w:pStyle w:val="16"/>
              <w:rPr>
                <w:rFonts w:hint="eastAsia" w:ascii="宋体" w:hAnsi="宋体" w:eastAsia="宋体" w:cs="宋体"/>
                <w:i w:val="0"/>
                <w:iCs w:val="0"/>
                <w:color w:val="000000"/>
                <w:kern w:val="0"/>
                <w:sz w:val="21"/>
                <w:szCs w:val="21"/>
                <w:u w:val="none"/>
                <w:lang w:val="en-US" w:eastAsia="zh-CN" w:bidi="ar"/>
              </w:rPr>
            </w:pPr>
          </w:p>
        </w:tc>
      </w:tr>
      <w:tr w14:paraId="47D0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367DC454">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955" w:type="dxa"/>
            <w:vAlign w:val="center"/>
          </w:tcPr>
          <w:p w14:paraId="4B23967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86寸智慧黑板</w:t>
            </w:r>
          </w:p>
        </w:tc>
        <w:tc>
          <w:tcPr>
            <w:tcW w:w="7278" w:type="dxa"/>
            <w:vAlign w:val="center"/>
          </w:tcPr>
          <w:p w14:paraId="72D5CCB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一、整机设计</w:t>
            </w:r>
          </w:p>
          <w:p w14:paraId="41631DC8">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采用全金属外壳，三拼接平面一体化设计，屏幕边缘采用圆角包边防护，整机背板采用金属材质。整机设备副屏支持磁吸附功能，可以满足带有磁吸的板擦等教具进行吸附在副屏上。采用86液晶显示器。整机采用UHD超高清LED液晶屏，显示比例16:9，分辨率3840×2160。</w:t>
            </w:r>
          </w:p>
          <w:p w14:paraId="14F5344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整机支持蓝牙Bluetooth 5.4标准。</w:t>
            </w:r>
          </w:p>
          <w:p w14:paraId="3E614D93">
            <w:pPr>
              <w:spacing w:line="360" w:lineRule="auto"/>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设备支持5个自定义前置按键，“设置</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音量</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音量+</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录屏</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护眼”按键，可通过自定义设置实现前置面板功能按键一键启用任一全局小工具、快捷开关。嵌入式系统版本不低于Android 13，内存≥2GB，存储空间≥8GB。采用红外触控方式，支持Windows系统中进行40点或以上触控，支持在Android系统中进行40点或以上触控。</w:t>
            </w:r>
          </w:p>
          <w:p w14:paraId="3A63A4B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整机内置2.2声道扬声器，位于设备上边框，顶置朝前发声，前朝向10W高音扬声器2个，上朝向20W中低音扬声器2个，额定总功率60W。整机内置扬声器采用缝隙发声技术，喇叭采用槽式开口设计，不大于5.8mm。</w:t>
            </w:r>
          </w:p>
          <w:p w14:paraId="4F0C1E9C">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支持标准、听力、观影和AI空间感知音效模式，AI空间感知音效模式可通过内置麦克风采集教室物理环境声音，自动生成符合当前教室物理环境的频段、音量、音效。</w:t>
            </w:r>
          </w:p>
          <w:p w14:paraId="2F6AC6F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整机背光系统支持DC调光方式，多级亮度调节，支持白颜色背景下最暗亮度≤100nit，用于提升显示对比度。</w:t>
            </w:r>
          </w:p>
          <w:p w14:paraId="431B2153">
            <w:pPr>
              <w:spacing w:line="360" w:lineRule="auto"/>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系统支持手势上滑调出人工智能画质调节模式（AI-PQ），在安卓通道下可根据屏幕内容自动调节画质参数，当屏幕出现人物、建筑、夜景等元素时，自动调整对比度、饱和度、锐利度、色调色相值、高光/阴影。</w:t>
            </w:r>
          </w:p>
          <w:p w14:paraId="43962DC9">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支持发出频率为18kHz-22kHz超声波信号，智能手机通过麦克风接收后，智能手机与整机无需在同一局域网内，可实现配对，一键投屏，用户无需手动输入投屏码或扫码获取投屏码。整机Windows通道支持文件传输应用，支持通过扫码、wifi直联、超声三种方式与手机进行握手连接，实现文件传输功能。</w:t>
            </w:r>
          </w:p>
          <w:p w14:paraId="0F81AC8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整机内置双</w:t>
            </w:r>
            <w:r>
              <w:rPr>
                <w:rFonts w:hint="eastAsia" w:ascii="宋体" w:hAnsi="宋体" w:cs="宋体"/>
                <w:i w:val="0"/>
                <w:iCs w:val="0"/>
                <w:color w:val="000000"/>
                <w:kern w:val="0"/>
                <w:sz w:val="21"/>
                <w:szCs w:val="21"/>
                <w:u w:val="none"/>
                <w:lang w:val="en-US" w:eastAsia="zh-CN" w:bidi="ar"/>
              </w:rPr>
              <w:t>Wi-Fi</w:t>
            </w:r>
            <w:r>
              <w:rPr>
                <w:rFonts w:hint="eastAsia" w:ascii="宋体" w:hAnsi="宋体" w:eastAsia="宋体" w:cs="宋体"/>
                <w:i w:val="0"/>
                <w:iCs w:val="0"/>
                <w:color w:val="000000"/>
                <w:kern w:val="0"/>
                <w:sz w:val="21"/>
                <w:szCs w:val="21"/>
                <w:u w:val="none"/>
                <w:lang w:val="en-US" w:eastAsia="zh-CN" w:bidi="ar"/>
              </w:rPr>
              <w:t>6无线网卡（不接受外接），在Android下支持无线设备同时连接数量≥32个，在Windows系统下支持无线设备同时连接≥8个。</w:t>
            </w:r>
          </w:p>
          <w:p w14:paraId="4A4EC705">
            <w:pPr>
              <w:spacing w:line="360" w:lineRule="auto"/>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上边框内置非独立式摄像头，采用一体化集成设计；摄像头数量≥3个；具备摄像头工作指示灯，摄像头运行时，有指示灯提示。内置非独立式3个智能拼接摄像头，清晰度≥1600，视场角≥141度且水平视场角≥139度，拍摄像素≥1600万，支持输出8192×2048分辨率的照片和视频，支持画面畸变矫正功能 。内置非独立摄像头模组，同时输出至少 3 路视频流，同时支持课堂远程巡课、课堂教学数据采集、本地画面预览（拍照或视频录制）</w:t>
            </w:r>
          </w:p>
          <w:p w14:paraId="4BFDC43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整机支持提笔书写，在Windows系统下可实现无需点击任意功能入口，当检测到红外笔笔尖接触屏幕时，自动进入书写模式。</w:t>
            </w:r>
          </w:p>
          <w:p w14:paraId="707CE29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二、电脑模块</w:t>
            </w:r>
          </w:p>
          <w:p w14:paraId="2457FCE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主板搭载Intel酷睿系列 i5或以上CPU、内存：16GB DDR4笔记本内存或以上配置、硬盘：512 GB或以上SSD固态硬盘。</w:t>
            </w:r>
          </w:p>
          <w:p w14:paraId="08DE8BA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机身采用热浸镀锌金属材质，采用智能风扇低噪音散热设计，以预留足够散热空间，确保封闭空间内有效散热。具有标准PC防盗锁孔。</w:t>
            </w:r>
          </w:p>
          <w:p w14:paraId="7D5B7DFE">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PC模块的USB接口须为冗余备份接口，在正常使用整机的内置摄像头、内置麦克风功能时，USB接口不被占用，确保教师有足够的接口外接存储设备及显示设备。</w:t>
            </w:r>
          </w:p>
        </w:tc>
        <w:tc>
          <w:tcPr>
            <w:tcW w:w="560" w:type="dxa"/>
            <w:vAlign w:val="top"/>
          </w:tcPr>
          <w:p w14:paraId="171EE1DC">
            <w:pPr>
              <w:pStyle w:val="16"/>
              <w:rPr>
                <w:rFonts w:hint="eastAsia" w:ascii="宋体" w:hAnsi="宋体" w:eastAsia="宋体" w:cs="宋体"/>
                <w:i w:val="0"/>
                <w:iCs w:val="0"/>
                <w:color w:val="000000"/>
                <w:kern w:val="0"/>
                <w:sz w:val="21"/>
                <w:szCs w:val="21"/>
                <w:u w:val="none"/>
                <w:lang w:val="en-US" w:eastAsia="zh-CN" w:bidi="ar"/>
              </w:rPr>
            </w:pPr>
          </w:p>
        </w:tc>
      </w:tr>
      <w:tr w14:paraId="30F8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404DEB72">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955" w:type="dxa"/>
            <w:vAlign w:val="center"/>
          </w:tcPr>
          <w:p w14:paraId="6CD089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智能音频主机</w:t>
            </w:r>
          </w:p>
        </w:tc>
        <w:tc>
          <w:tcPr>
            <w:tcW w:w="7278" w:type="dxa"/>
            <w:vAlign w:val="center"/>
          </w:tcPr>
          <w:p w14:paraId="0CABF9C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主机采用纯嵌入一体式设计</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高度1U，内置静音恒温散热风扇。</w:t>
            </w:r>
          </w:p>
          <w:p w14:paraId="60BC47E0">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设备采用宽电压开关电源供电，AC120V-240V宽电压范围工作，内部电路板采用防潮工艺。</w:t>
            </w:r>
          </w:p>
          <w:p w14:paraId="68CC789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前面板带TFT彩色触摸屏，支持校徽定制，支持设置屏幕6位操作密码解锁。</w:t>
            </w:r>
          </w:p>
          <w:p w14:paraId="550C720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采用高清HD级数字功放芯片组，解析力更高，发热量低。具有延时保护、短路过流保护、过热保护。</w:t>
            </w:r>
          </w:p>
          <w:p w14:paraId="204886D3">
            <w:pPr>
              <w:spacing w:line="360" w:lineRule="auto"/>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采用高速数字信号处理器，主频≥800MHz，最大主频1000MHz。</w:t>
            </w:r>
          </w:p>
          <w:p w14:paraId="707FAFDF">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主机前面板带USB接口，支持U盘录音，支持最大32GB,FAT32格式，最多可录音时</w:t>
            </w:r>
            <w:r>
              <w:rPr>
                <w:rFonts w:hint="eastAsia" w:ascii="宋体" w:hAnsi="宋体" w:cs="宋体"/>
                <w:i w:val="0"/>
                <w:iCs w:val="0"/>
                <w:color w:val="000000"/>
                <w:kern w:val="0"/>
                <w:sz w:val="21"/>
                <w:szCs w:val="21"/>
                <w:u w:val="none"/>
                <w:lang w:val="en-US" w:eastAsia="zh-CN" w:bidi="ar"/>
              </w:rPr>
              <w:t>长</w:t>
            </w:r>
            <w:r>
              <w:rPr>
                <w:rFonts w:hint="eastAsia" w:ascii="宋体" w:hAnsi="宋体" w:eastAsia="宋体" w:cs="宋体"/>
                <w:i w:val="0"/>
                <w:iCs w:val="0"/>
                <w:color w:val="000000"/>
                <w:kern w:val="0"/>
                <w:sz w:val="21"/>
                <w:szCs w:val="21"/>
                <w:u w:val="none"/>
                <w:lang w:val="en-US" w:eastAsia="zh-CN" w:bidi="ar"/>
              </w:rPr>
              <w:t>≥1000小时。</w:t>
            </w:r>
          </w:p>
          <w:p w14:paraId="41016EB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设备具有6路音频输入、8路音频输出（其中2路音频输出到功放）4路GPIO逻辑自定义接口</w:t>
            </w:r>
            <w:r>
              <w:rPr>
                <w:rFonts w:hint="eastAsia" w:ascii="宋体" w:hAnsi="宋体" w:cs="宋体"/>
                <w:i w:val="0"/>
                <w:iCs w:val="0"/>
                <w:color w:val="000000"/>
                <w:kern w:val="0"/>
                <w:sz w:val="21"/>
                <w:szCs w:val="21"/>
                <w:u w:val="none"/>
                <w:lang w:val="en-US" w:eastAsia="zh-CN" w:bidi="ar"/>
              </w:rPr>
              <w:t>。</w:t>
            </w:r>
          </w:p>
          <w:p w14:paraId="5D5C704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主机软件支持6路输入和8路输出实时动态电平表显示功能，支持分量式音频矩阵。</w:t>
            </w:r>
          </w:p>
          <w:p w14:paraId="6AD7E535">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软件具有6路输入8路输出音频矩阵管理功能，每路输入通道带支持扩展器、自带增益、参数模块。每路输出通道带高低通、参数均衡、限幅器模块。软件支持反馈抑制、回声抑制、混音矩阵、闪避器、电平表功能模块。</w:t>
            </w:r>
          </w:p>
          <w:p w14:paraId="642B8EB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主机软件支持麦克风60段频谱实时显示分析功能，可指导房间频率均衡调试。</w:t>
            </w:r>
          </w:p>
          <w:p w14:paraId="75AC006E">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主机支持软件可消除输入通道白噪声，白噪声最大下降≥9db。</w:t>
            </w:r>
          </w:p>
          <w:p w14:paraId="3CB96DC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音频主机连接电脑音频输入输出，电脑连接外网，可通过腾讯会议、钉钉等实现远程音频互动和本地扩声，支持去混响、环境降噪、反馈抑制、网络回声抑制算法，支持本地扩声与远程互动同时进行。</w:t>
            </w:r>
          </w:p>
        </w:tc>
        <w:tc>
          <w:tcPr>
            <w:tcW w:w="560" w:type="dxa"/>
            <w:vAlign w:val="top"/>
          </w:tcPr>
          <w:p w14:paraId="02E69377">
            <w:pPr>
              <w:pStyle w:val="16"/>
              <w:rPr>
                <w:rFonts w:hint="eastAsia" w:ascii="宋体" w:hAnsi="宋体" w:eastAsia="宋体" w:cs="宋体"/>
                <w:i w:val="0"/>
                <w:iCs w:val="0"/>
                <w:color w:val="000000"/>
                <w:kern w:val="0"/>
                <w:sz w:val="21"/>
                <w:szCs w:val="21"/>
                <w:u w:val="none"/>
                <w:lang w:val="en-US" w:eastAsia="zh-CN" w:bidi="ar"/>
              </w:rPr>
            </w:pPr>
          </w:p>
        </w:tc>
      </w:tr>
      <w:tr w14:paraId="5B6B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4733D960">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955" w:type="dxa"/>
            <w:vAlign w:val="center"/>
          </w:tcPr>
          <w:p w14:paraId="2DFB6DB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教师拾音麦克风</w:t>
            </w:r>
          </w:p>
        </w:tc>
        <w:tc>
          <w:tcPr>
            <w:tcW w:w="7278" w:type="dxa"/>
            <w:vAlign w:val="center"/>
          </w:tcPr>
          <w:p w14:paraId="042787F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输出阻抗</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250Ω±30% (at 1KHz)。</w:t>
            </w:r>
          </w:p>
          <w:p w14:paraId="27D890D5">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灵敏度：-35dB(7.9mv 0dB=1V/Pa at 1KHz)。</w:t>
            </w:r>
          </w:p>
          <w:p w14:paraId="02EB4E3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抗手机、电磁、高频干扰。</w:t>
            </w:r>
          </w:p>
          <w:p w14:paraId="56E8013D">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灵敏度较高，拾音方向性强，搭配音频处理器使用，可有效解决杂散声波源回授产生的自激啸叫问题和减轻处理器反馈声波处理的难度。</w:t>
            </w:r>
          </w:p>
          <w:p w14:paraId="1EEA7FD3">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防风海绵罩采用电台播音级别环保植绒轻量工艺，具有超</w:t>
            </w:r>
            <w:r>
              <w:rPr>
                <w:rFonts w:hint="eastAsia" w:ascii="宋体" w:hAnsi="宋体" w:cs="宋体"/>
                <w:i w:val="0"/>
                <w:iCs w:val="0"/>
                <w:color w:val="000000"/>
                <w:kern w:val="0"/>
                <w:sz w:val="21"/>
                <w:szCs w:val="21"/>
                <w:u w:val="none"/>
                <w:lang w:val="en-US" w:eastAsia="zh-CN" w:bidi="ar"/>
              </w:rPr>
              <w:t>高的</w:t>
            </w:r>
            <w:r>
              <w:rPr>
                <w:rFonts w:hint="eastAsia" w:ascii="宋体" w:hAnsi="宋体" w:eastAsia="宋体" w:cs="宋体"/>
                <w:i w:val="0"/>
                <w:iCs w:val="0"/>
                <w:color w:val="000000"/>
                <w:kern w:val="0"/>
                <w:sz w:val="21"/>
                <w:szCs w:val="21"/>
                <w:u w:val="none"/>
                <w:lang w:val="en-US" w:eastAsia="zh-CN" w:bidi="ar"/>
              </w:rPr>
              <w:t>防风性能和声学性能，保证声音穿透性及清晰度。</w:t>
            </w:r>
          </w:p>
          <w:p w14:paraId="6F4D49D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频率响应（Frequency Response）：20-20KHZ。</w:t>
            </w:r>
          </w:p>
          <w:p w14:paraId="21514B54">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最大声压级：135dB SPL。</w:t>
            </w:r>
          </w:p>
          <w:p w14:paraId="60C3FFA9">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信噪比</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SNR</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：≥80dB。</w:t>
            </w:r>
          </w:p>
          <w:p w14:paraId="0C893EA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幻像电源：12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52V。</w:t>
            </w:r>
          </w:p>
          <w:p w14:paraId="5F221D7D">
            <w:pPr>
              <w:spacing w:line="360" w:lineRule="auto"/>
              <w:rPr>
                <w:rFonts w:hint="eastAsia" w:ascii="宋体" w:hAnsi="宋体" w:eastAsia="宋体" w:cs="宋体"/>
                <w:i w:val="0"/>
                <w:iCs w:val="0"/>
                <w:color w:val="000000"/>
                <w:kern w:val="0"/>
                <w:sz w:val="21"/>
                <w:szCs w:val="21"/>
                <w:highlight w:val="yellow"/>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内置嵌入式数字麦克风软件。</w:t>
            </w:r>
          </w:p>
          <w:p w14:paraId="1A85326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产品通过冲击锤试验、跌落试验、应力消除试验检测。</w:t>
            </w:r>
          </w:p>
        </w:tc>
        <w:tc>
          <w:tcPr>
            <w:tcW w:w="560" w:type="dxa"/>
            <w:vAlign w:val="top"/>
          </w:tcPr>
          <w:p w14:paraId="6C2F47B6">
            <w:pPr>
              <w:pStyle w:val="16"/>
              <w:rPr>
                <w:rFonts w:hint="eastAsia" w:ascii="宋体" w:hAnsi="宋体" w:eastAsia="宋体" w:cs="宋体"/>
                <w:i w:val="0"/>
                <w:iCs w:val="0"/>
                <w:color w:val="000000"/>
                <w:kern w:val="0"/>
                <w:sz w:val="21"/>
                <w:szCs w:val="21"/>
                <w:u w:val="none"/>
                <w:lang w:val="en-US" w:eastAsia="zh-CN" w:bidi="ar"/>
              </w:rPr>
            </w:pPr>
          </w:p>
        </w:tc>
      </w:tr>
      <w:tr w14:paraId="65899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65689924">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955" w:type="dxa"/>
            <w:vAlign w:val="center"/>
          </w:tcPr>
          <w:p w14:paraId="647668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高保真扩声音箱</w:t>
            </w:r>
          </w:p>
        </w:tc>
        <w:tc>
          <w:tcPr>
            <w:tcW w:w="7278" w:type="dxa"/>
            <w:vAlign w:val="center"/>
          </w:tcPr>
          <w:p w14:paraId="611BD9C4">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采用环保水性漆表面处理，耐磨</w:t>
            </w:r>
            <w:r>
              <w:rPr>
                <w:rFonts w:hint="eastAsia" w:ascii="宋体" w:hAnsi="宋体" w:cs="宋体"/>
                <w:i w:val="0"/>
                <w:iCs w:val="0"/>
                <w:color w:val="000000"/>
                <w:kern w:val="0"/>
                <w:sz w:val="21"/>
                <w:szCs w:val="21"/>
                <w:u w:val="none"/>
                <w:lang w:val="en-US" w:eastAsia="zh-CN" w:bidi="ar"/>
              </w:rPr>
              <w:t>耐洗，</w:t>
            </w:r>
            <w:r>
              <w:rPr>
                <w:rFonts w:hint="eastAsia" w:ascii="宋体" w:hAnsi="宋体" w:eastAsia="宋体" w:cs="宋体"/>
                <w:i w:val="0"/>
                <w:iCs w:val="0"/>
                <w:color w:val="000000"/>
                <w:kern w:val="0"/>
                <w:sz w:val="21"/>
                <w:szCs w:val="21"/>
                <w:u w:val="none"/>
                <w:lang w:val="en-US" w:eastAsia="zh-CN" w:bidi="ar"/>
              </w:rPr>
              <w:t>结构稳固。</w:t>
            </w:r>
          </w:p>
          <w:p w14:paraId="395790E6">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两分频设计，中低音采用6.5吋低音*1，高音采用3吋高音*1，声音明亮清晰，富有层次感。</w:t>
            </w:r>
          </w:p>
          <w:p w14:paraId="11943FA0">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灵活的吊挂系统，方便选用不同吊挂支架，可多面悬挂。</w:t>
            </w:r>
          </w:p>
          <w:p w14:paraId="576FE68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频率响应范围：50Hz-18kHz。</w:t>
            </w:r>
          </w:p>
          <w:p w14:paraId="55CF5B3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单元配置：6.5吋低音*1，3吋高音*1。</w:t>
            </w:r>
          </w:p>
          <w:p w14:paraId="10594DF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带万向挂架和螺丝，方便壁挂和安装。</w:t>
            </w:r>
          </w:p>
          <w:p w14:paraId="56999149">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标称阻抗：6Ω。</w:t>
            </w:r>
          </w:p>
          <w:p w14:paraId="06EAE25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额定功率：60W。</w:t>
            </w:r>
          </w:p>
          <w:p w14:paraId="5BD261F4">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灵敏度：98dB。</w:t>
            </w:r>
          </w:p>
          <w:p w14:paraId="33E61C32">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最大声压级：101dB。</w:t>
            </w:r>
          </w:p>
          <w:p w14:paraId="07E7AFBC">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为了保证设备使用的兼容性，需要保证该产品与“智能音频主机”为同一品牌。</w:t>
            </w:r>
          </w:p>
        </w:tc>
        <w:tc>
          <w:tcPr>
            <w:tcW w:w="560" w:type="dxa"/>
            <w:vAlign w:val="top"/>
          </w:tcPr>
          <w:p w14:paraId="2FFDC848">
            <w:pPr>
              <w:pStyle w:val="16"/>
              <w:rPr>
                <w:rFonts w:hint="eastAsia" w:ascii="宋体" w:hAnsi="宋体" w:eastAsia="宋体" w:cs="宋体"/>
                <w:i w:val="0"/>
                <w:iCs w:val="0"/>
                <w:color w:val="000000"/>
                <w:kern w:val="0"/>
                <w:sz w:val="21"/>
                <w:szCs w:val="21"/>
                <w:u w:val="none"/>
                <w:lang w:val="en-US" w:eastAsia="zh-CN" w:bidi="ar"/>
              </w:rPr>
            </w:pPr>
          </w:p>
        </w:tc>
      </w:tr>
      <w:tr w14:paraId="017F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4557904B">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955" w:type="dxa"/>
            <w:vAlign w:val="center"/>
          </w:tcPr>
          <w:p w14:paraId="0094435E">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微景观制作台具（60*45*45cm）</w:t>
            </w:r>
            <w:r>
              <w:rPr>
                <w:rFonts w:hint="eastAsia" w:ascii="宋体" w:hAnsi="宋体" w:cs="宋体"/>
                <w:i w:val="0"/>
                <w:iCs w:val="0"/>
                <w:color w:val="000000"/>
                <w:kern w:val="0"/>
                <w:sz w:val="21"/>
                <w:szCs w:val="21"/>
                <w:u w:val="none"/>
                <w:lang w:val="en-US" w:eastAsia="zh-CN" w:bidi="ar"/>
              </w:rPr>
              <w:t>（玻璃缸+柜体）</w:t>
            </w:r>
          </w:p>
        </w:tc>
        <w:tc>
          <w:tcPr>
            <w:tcW w:w="7278" w:type="dxa"/>
            <w:vAlign w:val="center"/>
          </w:tcPr>
          <w:p w14:paraId="704C5997">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玻璃缸</w:t>
            </w:r>
            <w:r>
              <w:rPr>
                <w:rFonts w:hint="eastAsia" w:ascii="宋体" w:hAnsi="宋体" w:eastAsia="宋体" w:cs="宋体"/>
                <w:i w:val="0"/>
                <w:iCs w:val="0"/>
                <w:color w:val="000000"/>
                <w:kern w:val="0"/>
                <w:sz w:val="21"/>
                <w:szCs w:val="21"/>
                <w:u w:val="none"/>
                <w:lang w:val="en-US" w:eastAsia="zh-CN" w:bidi="ar"/>
              </w:rPr>
              <w:t>材料：金晶超白玻璃水陆缸；工艺：边角精磨，水晶倒角，玻璃厚度8mm。</w:t>
            </w:r>
          </w:p>
          <w:p w14:paraId="3E80D6FC">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柜体高75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80cm环保欧松板。含进出水泵，过滤槽，支架式全光谱水草氧气灯，雾化器，循环水系管料及调试等</w:t>
            </w:r>
            <w:r>
              <w:rPr>
                <w:rFonts w:hint="eastAsia" w:ascii="宋体" w:hAnsi="宋体" w:cs="宋体"/>
                <w:i w:val="0"/>
                <w:iCs w:val="0"/>
                <w:color w:val="000000"/>
                <w:kern w:val="0"/>
                <w:sz w:val="21"/>
                <w:szCs w:val="21"/>
                <w:u w:val="none"/>
                <w:lang w:val="en-US" w:eastAsia="zh-CN" w:bidi="ar"/>
              </w:rPr>
              <w:t>。</w:t>
            </w:r>
          </w:p>
        </w:tc>
        <w:tc>
          <w:tcPr>
            <w:tcW w:w="560" w:type="dxa"/>
            <w:vAlign w:val="top"/>
          </w:tcPr>
          <w:p w14:paraId="1E9605AA">
            <w:pPr>
              <w:pStyle w:val="16"/>
              <w:rPr>
                <w:rFonts w:hint="eastAsia" w:ascii="宋体" w:hAnsi="宋体" w:eastAsia="宋体" w:cs="宋体"/>
                <w:i w:val="0"/>
                <w:iCs w:val="0"/>
                <w:color w:val="000000"/>
                <w:kern w:val="0"/>
                <w:sz w:val="21"/>
                <w:szCs w:val="21"/>
                <w:u w:val="none"/>
                <w:lang w:val="en-US" w:eastAsia="zh-CN" w:bidi="ar"/>
              </w:rPr>
            </w:pPr>
          </w:p>
        </w:tc>
      </w:tr>
      <w:tr w14:paraId="35ED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69BBD1DD">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955" w:type="dxa"/>
            <w:vAlign w:val="center"/>
          </w:tcPr>
          <w:p w14:paraId="4BE580E3">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微景观制作台具（80*45*45cm）</w:t>
            </w:r>
            <w:r>
              <w:rPr>
                <w:rFonts w:hint="eastAsia" w:ascii="宋体" w:hAnsi="宋体" w:cs="宋体"/>
                <w:i w:val="0"/>
                <w:iCs w:val="0"/>
                <w:color w:val="000000"/>
                <w:kern w:val="0"/>
                <w:sz w:val="21"/>
                <w:szCs w:val="21"/>
                <w:u w:val="none"/>
                <w:lang w:val="en-US" w:eastAsia="zh-CN" w:bidi="ar"/>
              </w:rPr>
              <w:t>（玻璃缸+柜体）</w:t>
            </w:r>
          </w:p>
        </w:tc>
        <w:tc>
          <w:tcPr>
            <w:tcW w:w="7278" w:type="dxa"/>
            <w:vAlign w:val="center"/>
          </w:tcPr>
          <w:p w14:paraId="4C606F64">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玻璃缸</w:t>
            </w:r>
            <w:r>
              <w:rPr>
                <w:rFonts w:hint="eastAsia" w:ascii="宋体" w:hAnsi="宋体" w:eastAsia="宋体" w:cs="宋体"/>
                <w:i w:val="0"/>
                <w:iCs w:val="0"/>
                <w:color w:val="000000"/>
                <w:kern w:val="0"/>
                <w:sz w:val="21"/>
                <w:szCs w:val="21"/>
                <w:u w:val="none"/>
                <w:lang w:val="en-US" w:eastAsia="zh-CN" w:bidi="ar"/>
              </w:rPr>
              <w:t>材料：金晶超白玻璃水陆缸；工艺：边角精磨，水晶倒角，玻璃厚度8mm。</w:t>
            </w:r>
          </w:p>
          <w:p w14:paraId="26D1E4D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柜体高75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80cm环保欧松板。含进出水泵，过滤槽，支架式全光谱水草氧气灯，雾化器，循环水系管料及调试等</w:t>
            </w:r>
            <w:r>
              <w:rPr>
                <w:rFonts w:hint="eastAsia" w:ascii="宋体" w:hAnsi="宋体" w:cs="宋体"/>
                <w:i w:val="0"/>
                <w:iCs w:val="0"/>
                <w:color w:val="000000"/>
                <w:kern w:val="0"/>
                <w:sz w:val="21"/>
                <w:szCs w:val="21"/>
                <w:u w:val="none"/>
                <w:lang w:val="en-US" w:eastAsia="zh-CN" w:bidi="ar"/>
              </w:rPr>
              <w:t>。</w:t>
            </w:r>
          </w:p>
        </w:tc>
        <w:tc>
          <w:tcPr>
            <w:tcW w:w="560" w:type="dxa"/>
            <w:vAlign w:val="top"/>
          </w:tcPr>
          <w:p w14:paraId="6FC27575">
            <w:pPr>
              <w:pStyle w:val="16"/>
              <w:rPr>
                <w:rFonts w:hint="eastAsia" w:ascii="宋体" w:hAnsi="宋体" w:eastAsia="宋体" w:cs="宋体"/>
                <w:i w:val="0"/>
                <w:iCs w:val="0"/>
                <w:color w:val="000000"/>
                <w:kern w:val="0"/>
                <w:sz w:val="21"/>
                <w:szCs w:val="21"/>
                <w:u w:val="none"/>
                <w:lang w:val="en-US" w:eastAsia="zh-CN" w:bidi="ar"/>
              </w:rPr>
            </w:pPr>
          </w:p>
        </w:tc>
      </w:tr>
      <w:tr w14:paraId="51E6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68A8CD01">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955" w:type="dxa"/>
            <w:vAlign w:val="center"/>
          </w:tcPr>
          <w:p w14:paraId="0C6E6A06">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微景观制作台具（100*45*45cm）</w:t>
            </w:r>
            <w:r>
              <w:rPr>
                <w:rFonts w:hint="eastAsia" w:ascii="宋体" w:hAnsi="宋体" w:cs="宋体"/>
                <w:i w:val="0"/>
                <w:iCs w:val="0"/>
                <w:color w:val="000000"/>
                <w:kern w:val="0"/>
                <w:sz w:val="21"/>
                <w:szCs w:val="21"/>
                <w:u w:val="none"/>
                <w:lang w:val="en-US" w:eastAsia="zh-CN" w:bidi="ar"/>
              </w:rPr>
              <w:t>（玻璃缸+柜体）</w:t>
            </w:r>
          </w:p>
        </w:tc>
        <w:tc>
          <w:tcPr>
            <w:tcW w:w="7278" w:type="dxa"/>
            <w:vAlign w:val="center"/>
          </w:tcPr>
          <w:p w14:paraId="5BBDB989">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玻璃缸</w:t>
            </w:r>
            <w:r>
              <w:rPr>
                <w:rFonts w:hint="eastAsia" w:ascii="宋体" w:hAnsi="宋体" w:eastAsia="宋体" w:cs="宋体"/>
                <w:i w:val="0"/>
                <w:iCs w:val="0"/>
                <w:color w:val="000000"/>
                <w:kern w:val="0"/>
                <w:sz w:val="21"/>
                <w:szCs w:val="21"/>
                <w:u w:val="none"/>
                <w:lang w:val="en-US" w:eastAsia="zh-CN" w:bidi="ar"/>
              </w:rPr>
              <w:t>材料：金晶超白玻璃水陆缸；工艺：边角精磨，水晶倒角，玻璃厚度8mm。</w:t>
            </w:r>
          </w:p>
          <w:p w14:paraId="7457786B">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柜体高75</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80cm环保欧松板。含进出水泵，过滤槽，支架式全光谱水草氧气灯，雾化器，循环水系管料</w:t>
            </w:r>
            <w:r>
              <w:rPr>
                <w:rFonts w:hint="eastAsia" w:ascii="宋体" w:hAnsi="宋体" w:cs="宋体"/>
                <w:i w:val="0"/>
                <w:iCs w:val="0"/>
                <w:color w:val="000000"/>
                <w:kern w:val="0"/>
                <w:sz w:val="21"/>
                <w:szCs w:val="21"/>
                <w:u w:val="none"/>
                <w:lang w:val="en-US" w:eastAsia="zh-CN" w:bidi="ar"/>
              </w:rPr>
              <w:t>及调试</w:t>
            </w:r>
            <w:r>
              <w:rPr>
                <w:rFonts w:hint="eastAsia" w:ascii="宋体" w:hAnsi="宋体" w:eastAsia="宋体" w:cs="宋体"/>
                <w:i w:val="0"/>
                <w:iCs w:val="0"/>
                <w:color w:val="000000"/>
                <w:kern w:val="0"/>
                <w:sz w:val="21"/>
                <w:szCs w:val="21"/>
                <w:u w:val="none"/>
                <w:lang w:val="en-US" w:eastAsia="zh-CN" w:bidi="ar"/>
              </w:rPr>
              <w:t>等</w:t>
            </w:r>
            <w:r>
              <w:rPr>
                <w:rFonts w:hint="eastAsia" w:ascii="宋体" w:hAnsi="宋体" w:cs="宋体"/>
                <w:i w:val="0"/>
                <w:iCs w:val="0"/>
                <w:color w:val="000000"/>
                <w:kern w:val="0"/>
                <w:sz w:val="21"/>
                <w:szCs w:val="21"/>
                <w:u w:val="none"/>
                <w:lang w:val="en-US" w:eastAsia="zh-CN" w:bidi="ar"/>
              </w:rPr>
              <w:t>。</w:t>
            </w:r>
          </w:p>
        </w:tc>
        <w:tc>
          <w:tcPr>
            <w:tcW w:w="560" w:type="dxa"/>
            <w:vAlign w:val="top"/>
          </w:tcPr>
          <w:p w14:paraId="1158DFB5">
            <w:pPr>
              <w:pStyle w:val="16"/>
              <w:rPr>
                <w:rFonts w:hint="eastAsia" w:ascii="宋体" w:hAnsi="宋体" w:eastAsia="宋体" w:cs="宋体"/>
                <w:i w:val="0"/>
                <w:iCs w:val="0"/>
                <w:color w:val="000000"/>
                <w:kern w:val="0"/>
                <w:sz w:val="21"/>
                <w:szCs w:val="21"/>
                <w:u w:val="none"/>
                <w:lang w:val="en-US" w:eastAsia="zh-CN" w:bidi="ar"/>
              </w:rPr>
            </w:pPr>
          </w:p>
        </w:tc>
      </w:tr>
      <w:tr w14:paraId="0DD3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547AD64A">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4</w:t>
            </w:r>
          </w:p>
        </w:tc>
        <w:tc>
          <w:tcPr>
            <w:tcW w:w="955" w:type="dxa"/>
            <w:vAlign w:val="center"/>
          </w:tcPr>
          <w:p w14:paraId="2D4A9EBB">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多功能产品展示柜</w:t>
            </w:r>
          </w:p>
        </w:tc>
        <w:tc>
          <w:tcPr>
            <w:tcW w:w="7278" w:type="dxa"/>
            <w:vAlign w:val="center"/>
          </w:tcPr>
          <w:p w14:paraId="0953100F">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要求：教室靠近走廊面墙壁做多功能产品展示柜，教室后面墙做整体式多功能产品展示柜，主体颜色简约淡雅型（板材颜色待定）整体美观大方；柜体下面做双开式门，尺寸高约75cm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深度约60cm，上面整体式柜体做双开式门，尺寸高约55cm，深度约60cm；中间做产品展示区，做相应隔断及背板，展示区做白色LED射灯，部分立柱做板材包边；板材为节能环保型杉木生态板。</w:t>
            </w:r>
          </w:p>
        </w:tc>
        <w:tc>
          <w:tcPr>
            <w:tcW w:w="560" w:type="dxa"/>
            <w:vAlign w:val="top"/>
          </w:tcPr>
          <w:p w14:paraId="39D2408E">
            <w:pPr>
              <w:pStyle w:val="16"/>
              <w:rPr>
                <w:rFonts w:hint="eastAsia" w:ascii="宋体" w:hAnsi="宋体" w:eastAsia="宋体" w:cs="宋体"/>
                <w:i w:val="0"/>
                <w:iCs w:val="0"/>
                <w:color w:val="000000"/>
                <w:kern w:val="0"/>
                <w:sz w:val="21"/>
                <w:szCs w:val="21"/>
                <w:u w:val="none"/>
                <w:lang w:val="en-US" w:eastAsia="zh-CN" w:bidi="ar"/>
              </w:rPr>
            </w:pPr>
          </w:p>
        </w:tc>
      </w:tr>
      <w:tr w14:paraId="5AF0B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3C00663F">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5</w:t>
            </w:r>
          </w:p>
        </w:tc>
        <w:tc>
          <w:tcPr>
            <w:tcW w:w="955" w:type="dxa"/>
            <w:vAlign w:val="center"/>
          </w:tcPr>
          <w:p w14:paraId="77B66E67">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台式展示柜</w:t>
            </w:r>
          </w:p>
        </w:tc>
        <w:tc>
          <w:tcPr>
            <w:tcW w:w="7278" w:type="dxa"/>
            <w:vAlign w:val="center"/>
          </w:tcPr>
          <w:p w14:paraId="303D3CEA">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尺寸250*100*75cm或（80cm）暂定，加厚支架，环保木质桌面，和多功能产品展示柜颜色一致，（颜色待定）顶面安装射灯。</w:t>
            </w:r>
          </w:p>
        </w:tc>
        <w:tc>
          <w:tcPr>
            <w:tcW w:w="560" w:type="dxa"/>
            <w:vAlign w:val="top"/>
          </w:tcPr>
          <w:p w14:paraId="49108308">
            <w:pPr>
              <w:pStyle w:val="16"/>
              <w:rPr>
                <w:rFonts w:hint="eastAsia" w:ascii="宋体" w:hAnsi="宋体" w:eastAsia="宋体" w:cs="宋体"/>
                <w:i w:val="0"/>
                <w:iCs w:val="0"/>
                <w:color w:val="000000"/>
                <w:kern w:val="0"/>
                <w:sz w:val="21"/>
                <w:szCs w:val="21"/>
                <w:u w:val="none"/>
                <w:lang w:val="en-US" w:eastAsia="zh-CN" w:bidi="ar"/>
              </w:rPr>
            </w:pPr>
          </w:p>
        </w:tc>
      </w:tr>
      <w:tr w14:paraId="4E2D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1E69419D">
            <w:pPr>
              <w:pStyle w:val="16"/>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cs="宋体"/>
                <w:i w:val="0"/>
                <w:iCs w:val="0"/>
                <w:color w:val="000000"/>
                <w:kern w:val="0"/>
                <w:sz w:val="21"/>
                <w:szCs w:val="21"/>
                <w:u w:val="none"/>
                <w:lang w:val="en-US" w:eastAsia="zh-CN" w:bidi="ar"/>
              </w:rPr>
              <w:t>6</w:t>
            </w:r>
          </w:p>
        </w:tc>
        <w:tc>
          <w:tcPr>
            <w:tcW w:w="955" w:type="dxa"/>
            <w:vAlign w:val="center"/>
          </w:tcPr>
          <w:p w14:paraId="0FB8A314">
            <w:pPr>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窗帘</w:t>
            </w:r>
          </w:p>
        </w:tc>
        <w:tc>
          <w:tcPr>
            <w:tcW w:w="7278" w:type="dxa"/>
            <w:vAlign w:val="center"/>
          </w:tcPr>
          <w:p w14:paraId="4A5DFE3F">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采用单层加厚布艺窗帘，根据实际装修风格定制（供货前提供样品及配色版，颜色由采购人选定）</w:t>
            </w:r>
          </w:p>
        </w:tc>
        <w:tc>
          <w:tcPr>
            <w:tcW w:w="560" w:type="dxa"/>
            <w:vAlign w:val="top"/>
          </w:tcPr>
          <w:p w14:paraId="7D002290">
            <w:pPr>
              <w:pStyle w:val="16"/>
              <w:rPr>
                <w:rFonts w:hint="eastAsia" w:ascii="宋体" w:hAnsi="宋体" w:eastAsia="宋体" w:cs="宋体"/>
                <w:i w:val="0"/>
                <w:iCs w:val="0"/>
                <w:color w:val="000000"/>
                <w:kern w:val="0"/>
                <w:sz w:val="21"/>
                <w:szCs w:val="21"/>
                <w:u w:val="none"/>
                <w:lang w:val="en-US" w:eastAsia="zh-CN" w:bidi="ar"/>
              </w:rPr>
            </w:pPr>
          </w:p>
        </w:tc>
      </w:tr>
      <w:tr w14:paraId="14C00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487" w:type="dxa"/>
            <w:vAlign w:val="center"/>
          </w:tcPr>
          <w:p w14:paraId="67322099">
            <w:pPr>
              <w:pStyle w:val="16"/>
              <w:jc w:val="center"/>
              <w:rPr>
                <w:rFonts w:hint="default" w:ascii="宋体" w:hAnsi="宋体" w:eastAsia="宋体" w:cs="宋体"/>
                <w:i w:val="0"/>
                <w:iCs w:val="0"/>
                <w:color w:val="000000"/>
                <w:kern w:val="0"/>
                <w:sz w:val="21"/>
                <w:szCs w:val="21"/>
                <w:u w:val="none"/>
                <w:lang w:val="en-US" w:eastAsia="zh-CN" w:bidi="ar"/>
              </w:rPr>
            </w:pPr>
            <w:r>
              <w:rPr>
                <w:rFonts w:hint="eastAsia" w:cs="宋体"/>
                <w:i w:val="0"/>
                <w:iCs w:val="0"/>
                <w:color w:val="000000"/>
                <w:kern w:val="0"/>
                <w:sz w:val="21"/>
                <w:szCs w:val="21"/>
                <w:u w:val="none"/>
                <w:lang w:val="en-US" w:eastAsia="zh-CN" w:bidi="ar"/>
              </w:rPr>
              <w:t>17</w:t>
            </w:r>
          </w:p>
        </w:tc>
        <w:tc>
          <w:tcPr>
            <w:tcW w:w="955" w:type="dxa"/>
            <w:vAlign w:val="center"/>
          </w:tcPr>
          <w:p w14:paraId="420A7D49">
            <w:pPr>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实训</w:t>
            </w:r>
            <w:r>
              <w:rPr>
                <w:rFonts w:hint="eastAsia" w:ascii="宋体" w:hAnsi="宋体" w:cs="宋体"/>
                <w:i w:val="0"/>
                <w:iCs w:val="0"/>
                <w:color w:val="000000"/>
                <w:kern w:val="0"/>
                <w:sz w:val="21"/>
                <w:szCs w:val="21"/>
                <w:u w:val="none"/>
                <w:lang w:val="en-US" w:eastAsia="zh-CN" w:bidi="ar"/>
              </w:rPr>
              <w:t>容器设备</w:t>
            </w:r>
          </w:p>
        </w:tc>
        <w:tc>
          <w:tcPr>
            <w:tcW w:w="7278" w:type="dxa"/>
            <w:vAlign w:val="center"/>
          </w:tcPr>
          <w:p w14:paraId="1AC21369">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中式盆景托盘，尺寸60*30*30cm，水泥复合材质，5个；</w:t>
            </w:r>
          </w:p>
          <w:p w14:paraId="122A92BD">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中式盆景托盘，尺寸直径为60cm</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高30cm，水泥复合材质，5个；</w:t>
            </w:r>
          </w:p>
          <w:p w14:paraId="1EDE32C9">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3、</w:t>
            </w:r>
            <w:r>
              <w:rPr>
                <w:rFonts w:hint="eastAsia" w:ascii="宋体" w:hAnsi="宋体" w:eastAsia="宋体" w:cs="宋体"/>
                <w:i w:val="0"/>
                <w:iCs w:val="0"/>
                <w:color w:val="000000"/>
                <w:kern w:val="0"/>
                <w:sz w:val="21"/>
                <w:szCs w:val="21"/>
                <w:u w:val="none"/>
                <w:lang w:val="en-US" w:eastAsia="zh-CN" w:bidi="ar"/>
              </w:rPr>
              <w:t>生态瓶，尺寸217mm*260mm，体积6L</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自带补光灯（DC 5V 5W），高硼硅玻璃材质，5个；</w:t>
            </w:r>
          </w:p>
          <w:p w14:paraId="06F8CDBC">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r>
              <w:rPr>
                <w:rFonts w:hint="eastAsia" w:ascii="宋体" w:hAnsi="宋体" w:eastAsia="宋体" w:cs="宋体"/>
                <w:i w:val="0"/>
                <w:iCs w:val="0"/>
                <w:color w:val="000000"/>
                <w:kern w:val="0"/>
                <w:sz w:val="21"/>
                <w:szCs w:val="21"/>
                <w:u w:val="none"/>
                <w:lang w:val="en-US" w:eastAsia="zh-CN" w:bidi="ar"/>
              </w:rPr>
              <w:t>植物容器，尺寸175mm（最大直径）*230mm（高）</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普通玻璃材质，10个；</w:t>
            </w:r>
          </w:p>
          <w:p w14:paraId="1B8696FE">
            <w:pPr>
              <w:spacing w:line="360" w:lineRule="auto"/>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开口陶罐容器，尺寸25*14*18cm,6个；</w:t>
            </w:r>
          </w:p>
          <w:p w14:paraId="732D7FF4">
            <w:pPr>
              <w:spacing w:line="360" w:lineRule="auto"/>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苔藓室内装饰组合造景4套</w:t>
            </w:r>
            <w:r>
              <w:rPr>
                <w:rFonts w:hint="eastAsia" w:ascii="宋体" w:hAnsi="宋体" w:cs="宋体"/>
                <w:i w:val="0"/>
                <w:iCs w:val="0"/>
                <w:color w:val="000000"/>
                <w:kern w:val="0"/>
                <w:sz w:val="21"/>
                <w:szCs w:val="21"/>
                <w:u w:val="none"/>
                <w:lang w:val="en-US" w:eastAsia="zh-CN" w:bidi="ar"/>
              </w:rPr>
              <w:t>，包</w:t>
            </w:r>
            <w:r>
              <w:rPr>
                <w:rFonts w:hint="eastAsia" w:ascii="宋体" w:hAnsi="宋体" w:eastAsia="宋体" w:cs="宋体"/>
                <w:i w:val="0"/>
                <w:iCs w:val="0"/>
                <w:color w:val="000000"/>
                <w:kern w:val="0"/>
                <w:sz w:val="21"/>
                <w:szCs w:val="21"/>
                <w:u w:val="none"/>
                <w:lang w:val="en-US" w:eastAsia="zh-CN" w:bidi="ar"/>
              </w:rPr>
              <w:t>含泡沫底座、石砾、仿真青苔、仿真植物</w:t>
            </w:r>
            <w:r>
              <w:rPr>
                <w:rFonts w:hint="eastAsia" w:ascii="宋体" w:hAnsi="宋体" w:cs="宋体"/>
                <w:i w:val="0"/>
                <w:iCs w:val="0"/>
                <w:color w:val="000000"/>
                <w:kern w:val="0"/>
                <w:sz w:val="21"/>
                <w:szCs w:val="21"/>
                <w:u w:val="none"/>
                <w:lang w:val="en-US" w:eastAsia="zh-CN" w:bidi="ar"/>
              </w:rPr>
              <w:t>及骨架胶20瓶（每瓶容量100g）、</w:t>
            </w:r>
            <w:r>
              <w:rPr>
                <w:rFonts w:hint="eastAsia" w:ascii="宋体" w:hAnsi="宋体" w:eastAsia="宋体" w:cs="宋体"/>
                <w:i w:val="0"/>
                <w:iCs w:val="0"/>
                <w:color w:val="000000"/>
                <w:kern w:val="0"/>
                <w:sz w:val="21"/>
                <w:szCs w:val="21"/>
                <w:u w:val="none"/>
                <w:lang w:val="en-US" w:eastAsia="zh-CN" w:bidi="ar"/>
              </w:rPr>
              <w:t>人工驯化狭叶白发藓</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平方米</w:t>
            </w:r>
            <w:r>
              <w:rPr>
                <w:rFonts w:hint="eastAsia" w:ascii="宋体" w:hAnsi="宋体" w:cs="宋体"/>
                <w:i w:val="0"/>
                <w:iCs w:val="0"/>
                <w:color w:val="000000"/>
                <w:kern w:val="0"/>
                <w:sz w:val="21"/>
                <w:szCs w:val="21"/>
                <w:u w:val="none"/>
                <w:lang w:val="en-US" w:eastAsia="zh-CN" w:bidi="ar"/>
              </w:rPr>
              <w:t>、20</w:t>
            </w:r>
            <w:r>
              <w:rPr>
                <w:rFonts w:hint="eastAsia" w:ascii="宋体" w:hAnsi="宋体" w:eastAsia="宋体" w:cs="宋体"/>
                <w:i w:val="0"/>
                <w:iCs w:val="0"/>
                <w:color w:val="000000"/>
                <w:kern w:val="0"/>
                <w:sz w:val="21"/>
                <w:szCs w:val="21"/>
                <w:u w:val="none"/>
                <w:lang w:val="en-US" w:eastAsia="zh-CN" w:bidi="ar"/>
              </w:rPr>
              <w:t>棵早乙女杜鹃</w:t>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棵九里香</w:t>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棵紫檀</w:t>
            </w:r>
            <w:r>
              <w:rPr>
                <w:rFonts w:hint="eastAsia" w:ascii="宋体" w:hAnsi="宋体" w:cs="宋体"/>
                <w:i w:val="0"/>
                <w:iCs w:val="0"/>
                <w:color w:val="000000"/>
                <w:kern w:val="0"/>
                <w:sz w:val="21"/>
                <w:szCs w:val="21"/>
                <w:u w:val="none"/>
                <w:lang w:val="en-US" w:eastAsia="zh-CN" w:bidi="ar"/>
              </w:rPr>
              <w:t>、15</w:t>
            </w:r>
            <w:r>
              <w:rPr>
                <w:rFonts w:hint="eastAsia" w:ascii="宋体" w:hAnsi="宋体" w:eastAsia="宋体" w:cs="宋体"/>
                <w:i w:val="0"/>
                <w:iCs w:val="0"/>
                <w:color w:val="000000"/>
                <w:kern w:val="0"/>
                <w:sz w:val="21"/>
                <w:szCs w:val="21"/>
                <w:u w:val="none"/>
                <w:lang w:val="en-US" w:eastAsia="zh-CN" w:bidi="ar"/>
              </w:rPr>
              <w:t>棵蕨类植物</w:t>
            </w:r>
            <w:r>
              <w:rPr>
                <w:rFonts w:hint="eastAsia" w:ascii="宋体" w:hAnsi="宋体" w:cs="宋体"/>
                <w:i w:val="0"/>
                <w:iCs w:val="0"/>
                <w:color w:val="000000"/>
                <w:kern w:val="0"/>
                <w:sz w:val="21"/>
                <w:szCs w:val="21"/>
                <w:u w:val="none"/>
                <w:lang w:val="en-US" w:eastAsia="zh-CN" w:bidi="ar"/>
              </w:rPr>
              <w:t>。</w:t>
            </w:r>
          </w:p>
        </w:tc>
        <w:tc>
          <w:tcPr>
            <w:tcW w:w="560" w:type="dxa"/>
            <w:vAlign w:val="top"/>
          </w:tcPr>
          <w:p w14:paraId="1135058D">
            <w:pPr>
              <w:pStyle w:val="16"/>
              <w:rPr>
                <w:rFonts w:hint="eastAsia" w:ascii="宋体" w:hAnsi="宋体" w:eastAsia="宋体" w:cs="宋体"/>
                <w:i w:val="0"/>
                <w:iCs w:val="0"/>
                <w:color w:val="000000"/>
                <w:kern w:val="0"/>
                <w:sz w:val="21"/>
                <w:szCs w:val="21"/>
                <w:u w:val="none"/>
                <w:lang w:val="en-US" w:eastAsia="zh-CN" w:bidi="ar"/>
              </w:rPr>
            </w:pPr>
          </w:p>
        </w:tc>
      </w:tr>
    </w:tbl>
    <w:p w14:paraId="6D3184A5">
      <w:pPr>
        <w:spacing w:before="179" w:line="376" w:lineRule="auto"/>
        <w:ind w:left="16" w:right="470"/>
        <w:jc w:val="both"/>
        <w:rPr>
          <w:rFonts w:hint="default" w:ascii="宋体" w:hAnsi="宋体" w:eastAsia="宋体" w:cs="宋体"/>
          <w:b/>
          <w:kern w:val="0"/>
          <w:sz w:val="24"/>
          <w:lang w:val="en-US" w:eastAsia="zh-CN"/>
        </w:rPr>
      </w:pPr>
      <w:r>
        <w:rPr>
          <w:rFonts w:ascii="宋体" w:hAnsi="宋体" w:eastAsia="宋体" w:cs="宋体"/>
          <w:b/>
          <w:bCs/>
          <w:spacing w:val="-3"/>
          <w:sz w:val="22"/>
          <w:szCs w:val="22"/>
        </w:rPr>
        <w:t>注：1、以上技术参数要求中如有引用的设备（货物</w:t>
      </w:r>
      <w:r>
        <w:rPr>
          <w:rFonts w:ascii="宋体" w:hAnsi="宋体" w:eastAsia="宋体" w:cs="宋体"/>
          <w:b/>
          <w:bCs/>
          <w:spacing w:val="-4"/>
          <w:sz w:val="22"/>
          <w:szCs w:val="22"/>
        </w:rPr>
        <w:t>）的品牌、规格、型号的仅供参考，</w:t>
      </w:r>
      <w:r>
        <w:rPr>
          <w:rFonts w:ascii="宋体" w:hAnsi="宋体" w:eastAsia="宋体" w:cs="宋体"/>
          <w:b/>
          <w:bCs/>
          <w:spacing w:val="-3"/>
          <w:sz w:val="22"/>
          <w:szCs w:val="22"/>
        </w:rPr>
        <w:t>报价产品必须 实质上满足或优于所要求的技术参数。 2、所有带“★ ” 项必须全部满足或者优于，否则视为无效报价。</w:t>
      </w:r>
      <w:r>
        <w:rPr>
          <w:rFonts w:hint="eastAsia" w:ascii="宋体" w:hAnsi="宋体" w:eastAsia="宋体" w:cs="宋体"/>
          <w:b/>
          <w:bCs/>
          <w:spacing w:val="-3"/>
          <w:sz w:val="22"/>
          <w:szCs w:val="22"/>
          <w:lang w:val="en-US" w:eastAsia="zh-CN"/>
        </w:rPr>
        <w:t>3、供货商需要把微景观实训室原模型室物品搬运至四楼模型室；国赛桌椅从指定位置搬到新建设的微景观实训室并安装调试。</w:t>
      </w:r>
    </w:p>
    <w:p w14:paraId="488451F1">
      <w:pPr>
        <w:snapToGrid w:val="0"/>
        <w:spacing w:line="440" w:lineRule="exact"/>
        <w:ind w:firstLine="482" w:firstLineChars="200"/>
        <w:rPr>
          <w:rFonts w:ascii="宋体" w:hAnsi="宋体" w:cs="宋体"/>
          <w:b/>
          <w:color w:val="auto"/>
          <w:kern w:val="0"/>
          <w:sz w:val="24"/>
        </w:rPr>
      </w:pPr>
      <w:r>
        <w:rPr>
          <w:rFonts w:hint="eastAsia" w:ascii="宋体" w:hAnsi="宋体" w:cs="宋体"/>
          <w:b/>
          <w:color w:val="auto"/>
          <w:kern w:val="0"/>
          <w:sz w:val="24"/>
        </w:rPr>
        <w:t>2、实施要求</w:t>
      </w:r>
    </w:p>
    <w:p w14:paraId="6F291CD8">
      <w:pPr>
        <w:snapToGrid w:val="0"/>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（1）所有设备必须是厂商原装、全新的产品，符合国家及该产品的出厂标准及相关认证规定的。</w:t>
      </w:r>
    </w:p>
    <w:p w14:paraId="61F02DC5">
      <w:pPr>
        <w:snapToGrid w:val="0"/>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（2）设备外观清洁，标记编号以及盘面显示等字体清晰，明确。</w:t>
      </w:r>
    </w:p>
    <w:p w14:paraId="31ACB0DD">
      <w:pPr>
        <w:snapToGrid w:val="0"/>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对于影响设备正常工作的必要组成部分，无论在技术规范中指出与否，报价人都应在报价文件中明确列出。</w:t>
      </w:r>
    </w:p>
    <w:p w14:paraId="63AEC992">
      <w:pPr>
        <w:snapToGrid w:val="0"/>
        <w:spacing w:line="440" w:lineRule="exact"/>
        <w:ind w:firstLine="480" w:firstLineChars="200"/>
        <w:rPr>
          <w:rFonts w:hint="eastAsia" w:ascii="宋体" w:hAnsi="宋体" w:cs="宋体"/>
          <w:bCs/>
          <w:color w:val="auto"/>
          <w:kern w:val="0"/>
          <w:sz w:val="24"/>
        </w:rPr>
      </w:pPr>
      <w:r>
        <w:rPr>
          <w:rFonts w:hint="eastAsia" w:ascii="宋体" w:hAnsi="宋体" w:cs="宋体"/>
          <w:bCs/>
          <w:color w:val="auto"/>
          <w:kern w:val="0"/>
          <w:sz w:val="24"/>
        </w:rPr>
        <w:t>（3）所有设备提供出厂合格证等质量证明文件。</w:t>
      </w:r>
    </w:p>
    <w:p w14:paraId="2C960D08">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所投的产品必须是在中国范围内合法销售，原装、全新、并完全符合用户要求的产品。必须附产品原产地标签、合格证及其他相关的资料。货物完好，物品配件齐全。</w:t>
      </w:r>
    </w:p>
    <w:p w14:paraId="660478EC">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3、质量、服务要求</w:t>
      </w:r>
    </w:p>
    <w:p w14:paraId="0CA6FD46">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（1）报价人报价时所提供的设备如在实际供货时已经废型，则中标供应商必须用供货时该厂家的最新产品提供给用户单位，其性能指标不得低于所投设备，并且价格不变。</w:t>
      </w:r>
    </w:p>
    <w:p w14:paraId="7D71E931">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（2）所投设备质保期内免费上门服务。负责终身维修</w:t>
      </w:r>
      <w:r>
        <w:rPr>
          <w:rFonts w:hint="eastAsia" w:ascii="宋体" w:hAnsi="宋体" w:cs="宋体"/>
          <w:bCs/>
          <w:color w:val="auto"/>
          <w:kern w:val="0"/>
          <w:sz w:val="24"/>
          <w:lang w:eastAsia="zh-CN"/>
        </w:rPr>
        <w:t>，</w:t>
      </w:r>
      <w:r>
        <w:rPr>
          <w:rFonts w:hint="eastAsia" w:ascii="宋体" w:hAnsi="宋体" w:cs="宋体"/>
          <w:bCs/>
          <w:color w:val="auto"/>
          <w:kern w:val="0"/>
          <w:sz w:val="24"/>
        </w:rPr>
        <w:t>保证有充足的部件和配件</w:t>
      </w:r>
      <w:r>
        <w:rPr>
          <w:rFonts w:hint="eastAsia" w:ascii="宋体" w:hAnsi="宋体" w:cs="宋体"/>
          <w:bCs/>
          <w:color w:val="auto"/>
          <w:kern w:val="0"/>
          <w:sz w:val="24"/>
          <w:lang w:eastAsia="zh-CN"/>
        </w:rPr>
        <w:t>，</w:t>
      </w:r>
      <w:r>
        <w:rPr>
          <w:rFonts w:hint="eastAsia" w:ascii="宋体" w:hAnsi="宋体" w:cs="宋体"/>
          <w:bCs/>
          <w:color w:val="auto"/>
          <w:kern w:val="0"/>
          <w:sz w:val="24"/>
        </w:rPr>
        <w:t>超过保修期后</w:t>
      </w:r>
      <w:r>
        <w:rPr>
          <w:rFonts w:hint="eastAsia" w:ascii="宋体" w:hAnsi="宋体" w:cs="宋体"/>
          <w:bCs/>
          <w:color w:val="auto"/>
          <w:kern w:val="0"/>
          <w:sz w:val="24"/>
          <w:lang w:eastAsia="zh-CN"/>
        </w:rPr>
        <w:t>，</w:t>
      </w:r>
      <w:r>
        <w:rPr>
          <w:rFonts w:hint="eastAsia" w:ascii="宋体" w:hAnsi="宋体" w:cs="宋体"/>
          <w:bCs/>
          <w:color w:val="auto"/>
          <w:kern w:val="0"/>
          <w:sz w:val="24"/>
        </w:rPr>
        <w:t>如需更换部件或配件时</w:t>
      </w:r>
      <w:r>
        <w:rPr>
          <w:rFonts w:hint="eastAsia" w:ascii="宋体" w:hAnsi="宋体" w:cs="宋体"/>
          <w:bCs/>
          <w:color w:val="auto"/>
          <w:kern w:val="0"/>
          <w:sz w:val="24"/>
          <w:lang w:eastAsia="zh-CN"/>
        </w:rPr>
        <w:t>，</w:t>
      </w:r>
      <w:r>
        <w:rPr>
          <w:rFonts w:hint="eastAsia" w:ascii="宋体" w:hAnsi="宋体" w:cs="宋体"/>
          <w:bCs/>
          <w:color w:val="auto"/>
          <w:kern w:val="0"/>
          <w:sz w:val="24"/>
        </w:rPr>
        <w:t>将以不高于成本价为客户进行有偿收费服务。</w:t>
      </w:r>
    </w:p>
    <w:p w14:paraId="25DBB4A0">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4、其他要求</w:t>
      </w:r>
    </w:p>
    <w:p w14:paraId="13CEC2BE">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（1）中标人负责根据本项目内容各个不同的安装地点</w:t>
      </w:r>
      <w:r>
        <w:rPr>
          <w:rFonts w:hint="eastAsia" w:ascii="宋体" w:hAnsi="宋体" w:cs="宋体"/>
          <w:bCs/>
          <w:color w:val="auto"/>
          <w:kern w:val="0"/>
          <w:sz w:val="24"/>
          <w:lang w:eastAsia="zh-CN"/>
        </w:rPr>
        <w:t>，</w:t>
      </w:r>
      <w:r>
        <w:rPr>
          <w:rFonts w:hint="eastAsia" w:ascii="宋体" w:hAnsi="宋体" w:cs="宋体"/>
          <w:bCs/>
          <w:color w:val="auto"/>
          <w:kern w:val="0"/>
          <w:sz w:val="24"/>
        </w:rPr>
        <w:t>将货物材料送到现场过程中的全部运输，包括装卸车、货物现场的搬运。</w:t>
      </w:r>
    </w:p>
    <w:p w14:paraId="4789B17D">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（2）各种设备，必须提供装箱清单，</w:t>
      </w:r>
      <w:r>
        <w:rPr>
          <w:rFonts w:hint="eastAsia" w:ascii="宋体" w:hAnsi="宋体" w:cs="宋体"/>
          <w:bCs/>
          <w:color w:val="auto"/>
          <w:kern w:val="0"/>
          <w:sz w:val="24"/>
          <w:lang w:val="en-US" w:eastAsia="zh-CN"/>
        </w:rPr>
        <w:t>按照</w:t>
      </w:r>
      <w:r>
        <w:rPr>
          <w:rFonts w:hint="eastAsia" w:ascii="宋体" w:hAnsi="宋体" w:cs="宋体"/>
          <w:bCs/>
          <w:color w:val="auto"/>
          <w:kern w:val="0"/>
          <w:sz w:val="24"/>
          <w:lang w:eastAsia="zh-CN"/>
        </w:rPr>
        <w:t>装箱</w:t>
      </w:r>
      <w:r>
        <w:rPr>
          <w:rFonts w:hint="eastAsia" w:ascii="宋体" w:hAnsi="宋体" w:cs="宋体"/>
          <w:bCs/>
          <w:color w:val="auto"/>
          <w:kern w:val="0"/>
          <w:sz w:val="24"/>
        </w:rPr>
        <w:t>清单验收货物。</w:t>
      </w:r>
    </w:p>
    <w:p w14:paraId="3CC4CE40">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（3）货物在现场的保管由中标人负责，直至项目安装、验收完毕。</w:t>
      </w:r>
    </w:p>
    <w:p w14:paraId="724D15A9">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（4）货物在安装调试验收合格前的保险由中标人负责，中标人负责其派出的现场服务人员人身意外保险。</w:t>
      </w:r>
    </w:p>
    <w:p w14:paraId="7B3927CE">
      <w:pPr>
        <w:snapToGrid w:val="0"/>
        <w:spacing w:line="440" w:lineRule="exact"/>
        <w:ind w:firstLine="480"/>
        <w:rPr>
          <w:rFonts w:ascii="宋体" w:hAnsi="宋体" w:cs="宋体"/>
          <w:bCs/>
          <w:color w:val="auto"/>
          <w:kern w:val="0"/>
          <w:sz w:val="24"/>
        </w:rPr>
      </w:pPr>
      <w:r>
        <w:rPr>
          <w:rFonts w:hint="eastAsia" w:ascii="宋体" w:hAnsi="宋体" w:cs="宋体"/>
          <w:b/>
          <w:color w:val="auto"/>
          <w:kern w:val="0"/>
          <w:sz w:val="24"/>
        </w:rPr>
        <w:t>五、商务需求（合同主要条款）</w:t>
      </w:r>
    </w:p>
    <w:p w14:paraId="3F5EFDB7">
      <w:pPr>
        <w:snapToGrid w:val="0"/>
        <w:spacing w:line="440" w:lineRule="exact"/>
        <w:ind w:firstLine="480"/>
        <w:rPr>
          <w:rFonts w:hint="eastAsia" w:ascii="宋体" w:hAnsi="宋体" w:cs="宋体"/>
          <w:bCs/>
          <w:color w:val="auto"/>
          <w:kern w:val="0"/>
          <w:sz w:val="24"/>
        </w:rPr>
      </w:pPr>
      <w:r>
        <w:rPr>
          <w:rFonts w:hint="eastAsia" w:ascii="宋体" w:hAnsi="宋体" w:cs="宋体"/>
          <w:b/>
          <w:color w:val="auto"/>
          <w:kern w:val="0"/>
          <w:sz w:val="24"/>
        </w:rPr>
        <w:t>1、供货要求</w:t>
      </w:r>
    </w:p>
    <w:p w14:paraId="45DD2972">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时间：签订合同的</w:t>
      </w:r>
      <w:r>
        <w:rPr>
          <w:rFonts w:hint="eastAsia" w:ascii="宋体" w:hAnsi="宋体" w:eastAsia="宋体" w:cs="Times New Roman"/>
          <w:kern w:val="2"/>
          <w:sz w:val="24"/>
          <w:szCs w:val="24"/>
          <w:lang w:val="en-US" w:eastAsia="zh-CN" w:bidi="ar-SA"/>
        </w:rPr>
        <w:t>30天内安装调试完毕并交付使用</w:t>
      </w:r>
      <w:r>
        <w:rPr>
          <w:rFonts w:hint="eastAsia" w:ascii="宋体" w:hAnsi="宋体" w:cs="宋体"/>
          <w:bCs/>
          <w:color w:val="auto"/>
          <w:kern w:val="0"/>
          <w:sz w:val="24"/>
        </w:rPr>
        <w:t>。</w:t>
      </w:r>
    </w:p>
    <w:p w14:paraId="39365DE1">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地点：池州职业技术学院指定地点；</w:t>
      </w:r>
    </w:p>
    <w:p w14:paraId="0D6BDCB7">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包装要求</w:t>
      </w:r>
      <w:r>
        <w:rPr>
          <w:rFonts w:hint="eastAsia" w:ascii="宋体" w:hAnsi="宋体" w:cs="宋体"/>
          <w:bCs/>
          <w:color w:val="auto"/>
          <w:kern w:val="0"/>
          <w:sz w:val="24"/>
          <w:lang w:eastAsia="zh-CN"/>
        </w:rPr>
        <w:t>：</w:t>
      </w:r>
      <w:r>
        <w:rPr>
          <w:rFonts w:hint="eastAsia" w:ascii="宋体" w:hAnsi="宋体" w:cs="宋体"/>
          <w:bCs/>
          <w:color w:val="auto"/>
          <w:kern w:val="0"/>
          <w:sz w:val="24"/>
        </w:rPr>
        <w:t>所有设备必须包装完好，涉及的所有仪器设备等必须原厂包装，不得拆封。</w:t>
      </w:r>
    </w:p>
    <w:p w14:paraId="4871E37C">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2、安装调试</w:t>
      </w:r>
    </w:p>
    <w:p w14:paraId="65890728">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（1）中标人负责到用户指定的安装地点进行安装调试。</w:t>
      </w:r>
    </w:p>
    <w:p w14:paraId="3357DE75">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（2）中标人应设安装负责人，负责安装协调管理工作。</w:t>
      </w:r>
    </w:p>
    <w:p w14:paraId="03918B6C">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（3）安装所需工具设施物料由中标人自备、自费运到现场，完工后自费搬走。</w:t>
      </w:r>
    </w:p>
    <w:p w14:paraId="12038508">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（4）调试：按国家相关验收规范进行。</w:t>
      </w:r>
    </w:p>
    <w:p w14:paraId="6A70FF6D">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（5）仪器设备的拆箱、安装、通电、调试</w:t>
      </w:r>
      <w:r>
        <w:rPr>
          <w:rFonts w:hint="eastAsia" w:ascii="宋体" w:hAnsi="宋体" w:cs="宋体"/>
          <w:bCs/>
          <w:color w:val="auto"/>
          <w:kern w:val="0"/>
          <w:sz w:val="24"/>
          <w:lang w:eastAsia="zh-CN"/>
        </w:rPr>
        <w:t>等各</w:t>
      </w:r>
      <w:r>
        <w:rPr>
          <w:rFonts w:hint="eastAsia" w:ascii="宋体" w:hAnsi="宋体" w:cs="宋体"/>
          <w:bCs/>
          <w:color w:val="auto"/>
          <w:kern w:val="0"/>
          <w:sz w:val="24"/>
        </w:rPr>
        <w:t>项工作由中标人负责，但必须在采购人指定人员的参与下进行。调试的原始记录须经各方签字后作为验收的文件之一。</w:t>
      </w:r>
    </w:p>
    <w:p w14:paraId="01E87F3B">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3、检测验收</w:t>
      </w:r>
    </w:p>
    <w:p w14:paraId="6DE8E747">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（1）投标人货物安装调试合格后，经过双方检验认可，签署验收报告，产品保修期自验收合格之日起算，由投标人提供产品保修文件。</w:t>
      </w:r>
    </w:p>
    <w:p w14:paraId="329A8D88">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（2）当满足以下条件时，采购单位才向中标人签发货物验收报告：</w:t>
      </w:r>
    </w:p>
    <w:p w14:paraId="00EB4EBB">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1）中标人已按照合同规定提供了全部产品及完整的技术资料。</w:t>
      </w:r>
    </w:p>
    <w:p w14:paraId="340EF4A9">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2）货物符合招标文件技术规格书的要求，性能满足要求。</w:t>
      </w:r>
    </w:p>
    <w:p w14:paraId="7A2114D0">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3）货物具备产品合格证。</w:t>
      </w:r>
    </w:p>
    <w:p w14:paraId="1BA5B144">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4、培训</w:t>
      </w:r>
    </w:p>
    <w:p w14:paraId="3AB29B5D">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（1）中标单位负责派技术熟练人员为采购单位进行设备使用操作培训，使采购单位可熟练并自行使用相关设备与系统，为满足日常教学需求中标单位需提供不低于10次工程师上门教学服务。</w:t>
      </w:r>
    </w:p>
    <w:p w14:paraId="0779BF7D">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（2）投标人在投标文件中应提出详细的培训内容和培训计划。</w:t>
      </w:r>
    </w:p>
    <w:p w14:paraId="6FA45E4F">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（3）培训内容与计划应包括产品的安装、测试、操作、维护、软件系统培训（包括相关理论知识）。</w:t>
      </w:r>
    </w:p>
    <w:p w14:paraId="3EF22AE4">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5、售后服务</w:t>
      </w:r>
    </w:p>
    <w:p w14:paraId="06831497">
      <w:pPr>
        <w:snapToGrid w:val="0"/>
        <w:spacing w:line="440" w:lineRule="exact"/>
        <w:ind w:firstLine="480"/>
        <w:rPr>
          <w:rFonts w:ascii="宋体" w:hAnsi="宋体" w:cs="宋体"/>
          <w:b/>
          <w:color w:val="auto"/>
          <w:kern w:val="0"/>
          <w:sz w:val="24"/>
        </w:rPr>
      </w:pPr>
      <w:r>
        <w:rPr>
          <w:rFonts w:hint="eastAsia" w:ascii="宋体" w:hAnsi="宋体" w:cs="宋体"/>
          <w:b/>
          <w:color w:val="auto"/>
          <w:kern w:val="0"/>
          <w:sz w:val="24"/>
        </w:rPr>
        <w:t>（1）质保期</w:t>
      </w:r>
    </w:p>
    <w:p w14:paraId="36E50107">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以上产品必须全部为原装正版产品，投标人须对提供的所有仪器设备提供不少于1年的质保期及免费技术支持服务。由此产生的一切费用均由中标供应商承担。保修期间用户所购设备各部件发生非人为故障，供应商应免费上门更换同种品牌不低于原规格型号的新部件。对于不能明确是否是硬件出现故障时，中标供应商应尽力配合应用开发商进行检查，在必要时，能在响应时间内到达现场协助排除问题。</w:t>
      </w:r>
    </w:p>
    <w:p w14:paraId="5CDA9357">
      <w:pPr>
        <w:snapToGrid w:val="0"/>
        <w:spacing w:line="440" w:lineRule="exact"/>
        <w:ind w:firstLine="480"/>
        <w:rPr>
          <w:rFonts w:hint="eastAsia" w:ascii="宋体" w:hAnsi="宋体" w:cs="宋体"/>
          <w:b/>
          <w:color w:val="auto"/>
          <w:kern w:val="0"/>
          <w:sz w:val="24"/>
        </w:rPr>
      </w:pPr>
      <w:r>
        <w:rPr>
          <w:rFonts w:hint="eastAsia" w:ascii="宋体" w:hAnsi="宋体" w:cs="宋体"/>
          <w:b/>
          <w:color w:val="auto"/>
          <w:kern w:val="0"/>
          <w:sz w:val="24"/>
        </w:rPr>
        <w:t>（2）故障响应</w:t>
      </w:r>
    </w:p>
    <w:p w14:paraId="01F26CB8">
      <w:pPr>
        <w:snapToGrid w:val="0"/>
        <w:spacing w:line="440" w:lineRule="exact"/>
        <w:ind w:firstLine="480"/>
        <w:rPr>
          <w:rFonts w:ascii="宋体" w:hAnsi="宋体" w:cs="宋体"/>
          <w:bCs/>
          <w:color w:val="auto"/>
          <w:kern w:val="0"/>
          <w:sz w:val="24"/>
        </w:rPr>
      </w:pPr>
      <w:r>
        <w:rPr>
          <w:rFonts w:hint="eastAsia" w:ascii="宋体" w:hAnsi="宋体" w:cs="宋体"/>
          <w:bCs/>
          <w:color w:val="auto"/>
          <w:kern w:val="0"/>
          <w:sz w:val="24"/>
        </w:rPr>
        <w:t>对采购单位的服务通知，供应商在接报后2小时内响应，24小时内到达现场，48小时内处理完毕。若在48小时内仍未能有效解决，供应商须免费提供同档次的设备予采购单位临时使用。</w:t>
      </w:r>
    </w:p>
    <w:p w14:paraId="73D4D729">
      <w:pPr>
        <w:snapToGrid w:val="0"/>
        <w:spacing w:line="440" w:lineRule="exact"/>
        <w:ind w:firstLine="480"/>
        <w:rPr>
          <w:rFonts w:hint="eastAsia" w:ascii="宋体" w:hAnsi="宋体" w:cs="宋体"/>
          <w:b/>
          <w:color w:val="auto"/>
          <w:kern w:val="0"/>
          <w:sz w:val="24"/>
        </w:rPr>
      </w:pPr>
      <w:r>
        <w:rPr>
          <w:rFonts w:hint="eastAsia" w:ascii="宋体" w:hAnsi="宋体" w:cs="宋体"/>
          <w:b/>
          <w:color w:val="auto"/>
          <w:kern w:val="0"/>
          <w:sz w:val="24"/>
        </w:rPr>
        <w:t>6、付款方式</w:t>
      </w:r>
    </w:p>
    <w:p w14:paraId="023B8914">
      <w:pPr>
        <w:snapToGrid w:val="0"/>
        <w:spacing w:line="440" w:lineRule="exact"/>
        <w:ind w:firstLine="480"/>
        <w:rPr>
          <w:rFonts w:hint="eastAsia" w:ascii="宋体" w:hAnsi="宋体" w:cs="宋体"/>
          <w:bCs/>
          <w:color w:val="auto"/>
          <w:kern w:val="0"/>
          <w:sz w:val="24"/>
        </w:rPr>
      </w:pPr>
      <w:r>
        <w:rPr>
          <w:rFonts w:hint="eastAsia" w:ascii="宋体" w:hAnsi="宋体" w:cs="宋体"/>
          <w:bCs/>
          <w:color w:val="auto"/>
          <w:kern w:val="0"/>
          <w:sz w:val="24"/>
        </w:rPr>
        <w:t>货物供货完毕，且验收合格后，一次性付清。</w:t>
      </w:r>
    </w:p>
    <w:p w14:paraId="4BECE1CA">
      <w:pPr>
        <w:snapToGrid w:val="0"/>
        <w:spacing w:line="440" w:lineRule="exact"/>
        <w:ind w:left="360"/>
        <w:rPr>
          <w:color w:val="auto"/>
        </w:rPr>
      </w:pPr>
      <w:r>
        <w:rPr>
          <w:rFonts w:hint="eastAsia" w:ascii="宋体" w:hAnsi="宋体" w:cs="宋体"/>
          <w:b/>
          <w:color w:val="auto"/>
          <w:kern w:val="0"/>
          <w:sz w:val="24"/>
        </w:rPr>
        <w:t>六</w:t>
      </w:r>
      <w:r>
        <w:rPr>
          <w:rFonts w:ascii="宋体" w:hAnsi="宋体" w:cs="宋体"/>
          <w:b/>
          <w:color w:val="auto"/>
          <w:kern w:val="0"/>
          <w:sz w:val="24"/>
        </w:rPr>
        <w:t>、</w:t>
      </w:r>
      <w:r>
        <w:rPr>
          <w:rFonts w:hint="eastAsia" w:ascii="宋体" w:hAnsi="宋体" w:cs="宋体"/>
          <w:b/>
          <w:color w:val="auto"/>
          <w:kern w:val="0"/>
          <w:sz w:val="24"/>
        </w:rPr>
        <w:t>评标办法</w:t>
      </w:r>
    </w:p>
    <w:p w14:paraId="23FF218D">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textAlignment w:val="auto"/>
      </w:pPr>
      <w:r>
        <w:rPr>
          <w:rFonts w:hint="eastAsia" w:ascii="宋体" w:hAnsi="宋体" w:cs="宋体"/>
          <w:bCs/>
          <w:color w:val="auto"/>
          <w:kern w:val="0"/>
          <w:sz w:val="24"/>
          <w:lang w:val="en-US" w:eastAsia="zh-CN"/>
        </w:rPr>
        <w:t>采购方式采取询价采购。在满足需求书要求的前提下，报价最低的供应商为中标人，如满足需求书要求的前提下报价相同则采用抽签的方式确定中标人。</w:t>
      </w:r>
    </w:p>
    <w:sectPr>
      <w:footerReference r:id="rId3" w:type="default"/>
      <w:footerReference r:id="rId4" w:type="even"/>
      <w:pgSz w:w="11906" w:h="16838"/>
      <w:pgMar w:top="1701" w:right="1588" w:bottom="1588" w:left="1588" w:header="851"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A9D90">
    <w:pPr>
      <w:pStyle w:val="4"/>
      <w:ind w:right="315" w:rightChars="150"/>
      <w:jc w:val="center"/>
      <w:rPr>
        <w:rFonts w:hint="eastAsia" w:ascii="宋体" w:hAnsi="宋体"/>
        <w:sz w:val="24"/>
        <w:szCs w:val="24"/>
      </w:rPr>
    </w:pPr>
    <w:r>
      <w:rPr>
        <w:rFonts w:hint="eastAsia" w:ascii="宋体" w:hAnsi="宋体"/>
        <w:sz w:val="24"/>
        <w:szCs w:val="24"/>
      </w:rPr>
      <w:t xml:space="preserve">— </w:t>
    </w:r>
    <w:r>
      <w:rPr>
        <w:rFonts w:ascii="宋体" w:hAnsi="宋体"/>
        <w:sz w:val="28"/>
        <w:szCs w:val="28"/>
      </w:rPr>
      <w:fldChar w:fldCharType="begin"/>
    </w:r>
    <w:r>
      <w:rPr>
        <w:rStyle w:val="7"/>
        <w:rFonts w:ascii="宋体" w:hAnsi="宋体"/>
        <w:sz w:val="28"/>
        <w:szCs w:val="28"/>
      </w:rPr>
      <w:instrText xml:space="preserve"> PAGE </w:instrText>
    </w:r>
    <w:r>
      <w:rPr>
        <w:rFonts w:ascii="宋体" w:hAnsi="宋体"/>
        <w:sz w:val="28"/>
        <w:szCs w:val="28"/>
      </w:rPr>
      <w:fldChar w:fldCharType="separate"/>
    </w:r>
    <w:r>
      <w:rPr>
        <w:rStyle w:val="7"/>
        <w:rFonts w:ascii="宋体" w:hAnsi="宋体"/>
        <w:sz w:val="28"/>
        <w:szCs w:val="28"/>
      </w:rPr>
      <w:t>1</w:t>
    </w:r>
    <w:r>
      <w:rPr>
        <w:rFonts w:ascii="宋体" w:hAnsi="宋体"/>
        <w:sz w:val="28"/>
        <w:szCs w:val="28"/>
      </w:rPr>
      <w:fldChar w:fldCharType="end"/>
    </w:r>
    <w:r>
      <w:rPr>
        <w:rFonts w:hint="eastAsia"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DBFF7">
    <w:pPr>
      <w:pStyle w:val="4"/>
      <w:ind w:firstLine="360" w:firstLineChars="150"/>
      <w:jc w:val="center"/>
      <w:rPr>
        <w:rFonts w:hint="eastAsia" w:ascii="宋体" w:hAnsi="宋体"/>
        <w:sz w:val="24"/>
        <w:szCs w:val="24"/>
      </w:rPr>
    </w:pPr>
    <w:r>
      <w:rPr>
        <w:rFonts w:hint="eastAsia" w:ascii="宋体" w:hAnsi="宋体"/>
        <w:kern w:val="0"/>
        <w:sz w:val="24"/>
        <w:szCs w:val="24"/>
      </w:rPr>
      <w:t xml:space="preserve">— </w:t>
    </w:r>
    <w:r>
      <w:rPr>
        <w:rFonts w:hint="eastAsia" w:ascii="宋体" w:hAnsi="宋体"/>
        <w:kern w:val="0"/>
        <w:sz w:val="24"/>
        <w:szCs w:val="24"/>
      </w:rPr>
      <w:fldChar w:fldCharType="begin"/>
    </w:r>
    <w:r>
      <w:rPr>
        <w:rFonts w:hint="eastAsia" w:ascii="宋体" w:hAnsi="宋体"/>
        <w:kern w:val="0"/>
        <w:sz w:val="24"/>
        <w:szCs w:val="24"/>
      </w:rPr>
      <w:instrText xml:space="preserve"> PAGE </w:instrText>
    </w:r>
    <w:r>
      <w:rPr>
        <w:rFonts w:hint="eastAsia" w:ascii="宋体" w:hAnsi="宋体"/>
        <w:kern w:val="0"/>
        <w:sz w:val="24"/>
        <w:szCs w:val="24"/>
      </w:rPr>
      <w:fldChar w:fldCharType="separate"/>
    </w:r>
    <w:r>
      <w:rPr>
        <w:rFonts w:ascii="宋体" w:hAnsi="宋体"/>
        <w:kern w:val="0"/>
        <w:sz w:val="24"/>
        <w:szCs w:val="24"/>
      </w:rPr>
      <w:t>2</w:t>
    </w:r>
    <w:r>
      <w:rPr>
        <w:rFonts w:hint="eastAsia" w:ascii="宋体" w:hAnsi="宋体"/>
        <w:kern w:val="0"/>
        <w:sz w:val="24"/>
        <w:szCs w:val="24"/>
      </w:rPr>
      <w:fldChar w:fldCharType="end"/>
    </w:r>
    <w:r>
      <w:rPr>
        <w:rFonts w:hint="eastAsia" w:ascii="宋体" w:hAnsi="宋体"/>
        <w:kern w:val="0"/>
        <w:sz w:val="24"/>
        <w:szCs w:val="24"/>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11B458"/>
    <w:multiLevelType w:val="singleLevel"/>
    <w:tmpl w:val="5B11B45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YzkzZTZkMDk2ZDExNDYyZDQzMDQ2MTdmZmMyZjMifQ=="/>
  </w:docVars>
  <w:rsids>
    <w:rsidRoot w:val="6C9649D2"/>
    <w:rsid w:val="021D229B"/>
    <w:rsid w:val="0E8006AC"/>
    <w:rsid w:val="0E956D7D"/>
    <w:rsid w:val="101C1B54"/>
    <w:rsid w:val="18D13A41"/>
    <w:rsid w:val="1A7229A7"/>
    <w:rsid w:val="1CF77BE9"/>
    <w:rsid w:val="203F517B"/>
    <w:rsid w:val="22574B3B"/>
    <w:rsid w:val="250B2507"/>
    <w:rsid w:val="25DC3CA4"/>
    <w:rsid w:val="29B87CEA"/>
    <w:rsid w:val="2CE22857"/>
    <w:rsid w:val="2D5E4540"/>
    <w:rsid w:val="32F81DE5"/>
    <w:rsid w:val="35F75A42"/>
    <w:rsid w:val="39EE487A"/>
    <w:rsid w:val="42BD3914"/>
    <w:rsid w:val="4800556C"/>
    <w:rsid w:val="48B545A9"/>
    <w:rsid w:val="4CEA0444"/>
    <w:rsid w:val="529071DB"/>
    <w:rsid w:val="59DF6BA6"/>
    <w:rsid w:val="5A7D2D66"/>
    <w:rsid w:val="5CB00EB7"/>
    <w:rsid w:val="6B2111EB"/>
    <w:rsid w:val="6C9649D2"/>
    <w:rsid w:val="779F4C15"/>
    <w:rsid w:val="787A2675"/>
    <w:rsid w:val="7C217CCA"/>
    <w:rsid w:val="7FB77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40" w:lineRule="auto"/>
      <w:jc w:val="center"/>
      <w:outlineLvl w:val="0"/>
    </w:pPr>
    <w:rPr>
      <w:rFonts w:asciiTheme="minorAscii" w:hAnsiTheme="minorAscii" w:eastAsiaTheme="minorEastAsia" w:cstheme="minorBidi"/>
      <w:b/>
      <w:kern w:val="44"/>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24"/>
      <w:szCs w:val="24"/>
      <w:lang w:val="en-US" w:eastAsia="en-US" w:bidi="ar-SA"/>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 w:type="character" w:customStyle="1" w:styleId="8">
    <w:name w:val="font11"/>
    <w:basedOn w:val="6"/>
    <w:qFormat/>
    <w:uiPriority w:val="0"/>
    <w:rPr>
      <w:rFonts w:hint="default" w:ascii="Times New Roman" w:hAnsi="Times New Roman" w:cs="Times New Roman"/>
      <w:color w:val="000000"/>
      <w:sz w:val="20"/>
      <w:szCs w:val="20"/>
      <w:u w:val="none"/>
    </w:rPr>
  </w:style>
  <w:style w:type="character" w:customStyle="1" w:styleId="9">
    <w:name w:val="font61"/>
    <w:basedOn w:val="6"/>
    <w:qFormat/>
    <w:uiPriority w:val="0"/>
    <w:rPr>
      <w:rFonts w:hint="default" w:ascii="Times New Roman" w:hAnsi="Times New Roman" w:cs="Times New Roman"/>
      <w:color w:val="000000"/>
      <w:sz w:val="20"/>
      <w:szCs w:val="20"/>
      <w:u w:val="none"/>
    </w:rPr>
  </w:style>
  <w:style w:type="character" w:customStyle="1" w:styleId="10">
    <w:name w:val="font71"/>
    <w:basedOn w:val="6"/>
    <w:qFormat/>
    <w:uiPriority w:val="0"/>
    <w:rPr>
      <w:rFonts w:hint="default" w:ascii="Times New Roman" w:hAnsi="Times New Roman" w:cs="Times New Roman"/>
      <w:color w:val="000000"/>
      <w:sz w:val="21"/>
      <w:szCs w:val="21"/>
      <w:u w:val="none"/>
    </w:rPr>
  </w:style>
  <w:style w:type="character" w:customStyle="1" w:styleId="11">
    <w:name w:val="font51"/>
    <w:basedOn w:val="6"/>
    <w:qFormat/>
    <w:uiPriority w:val="0"/>
    <w:rPr>
      <w:rFonts w:hint="eastAsia" w:ascii="宋体" w:hAnsi="宋体" w:eastAsia="宋体" w:cs="宋体"/>
      <w:color w:val="000000"/>
      <w:sz w:val="21"/>
      <w:szCs w:val="21"/>
      <w:u w:val="none"/>
    </w:rPr>
  </w:style>
  <w:style w:type="character" w:customStyle="1" w:styleId="12">
    <w:name w:val="font81"/>
    <w:basedOn w:val="6"/>
    <w:qFormat/>
    <w:uiPriority w:val="0"/>
    <w:rPr>
      <w:rFonts w:hint="default" w:ascii="Times New Roman" w:hAnsi="Times New Roman" w:cs="Times New Roman"/>
      <w:color w:val="000000"/>
      <w:sz w:val="24"/>
      <w:szCs w:val="24"/>
      <w:u w:val="none"/>
    </w:rPr>
  </w:style>
  <w:style w:type="character" w:customStyle="1" w:styleId="13">
    <w:name w:val="font41"/>
    <w:basedOn w:val="6"/>
    <w:qFormat/>
    <w:uiPriority w:val="0"/>
    <w:rPr>
      <w:rFonts w:hint="default" w:ascii="Times New Roman" w:hAnsi="Times New Roman" w:cs="Times New Roman"/>
      <w:color w:val="000000"/>
      <w:sz w:val="20"/>
      <w:szCs w:val="20"/>
      <w:u w:val="none"/>
    </w:rPr>
  </w:style>
  <w:style w:type="character" w:customStyle="1" w:styleId="14">
    <w:name w:val="font21"/>
    <w:basedOn w:val="6"/>
    <w:qFormat/>
    <w:uiPriority w:val="0"/>
    <w:rPr>
      <w:rFonts w:hint="eastAsia" w:ascii="宋体" w:hAnsi="宋体" w:eastAsia="宋体" w:cs="宋体"/>
      <w:color w:val="000000"/>
      <w:sz w:val="20"/>
      <w:szCs w:val="20"/>
      <w:u w:val="none"/>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6399</Words>
  <Characters>7111</Characters>
  <Lines>0</Lines>
  <Paragraphs>0</Paragraphs>
  <TotalTime>341</TotalTime>
  <ScaleCrop>false</ScaleCrop>
  <LinksUpToDate>false</LinksUpToDate>
  <CharactersWithSpaces>7168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2022-10-08T02:20:00Z</dcterms:created>
  <dc:creator>小武</dc:creator>
  <cp:lastModifiedBy>8447924</cp:lastModifiedBy>
  <dcterms:modified xsi:type="dcterms:W3CDTF">2025-04-02T09:11:55Z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C2F07E9F5932496A850A2E04F1248932_13</vt:lpwstr>
  </property>
  <property fmtid="{D5CDD505-2E9C-101B-9397-08002B2CF9AE}" pid="4" name="KSOTemplateDocerSaveRecord">
    <vt:lpwstr>eyJoZGlkIjoiMTdmZjZlYmJiNTJmMTkxMjhhZTJkNGY0NjY1OTE4NTEiLCJ1c2VySWQiOiI0OTY3NDgxMzEifQ==</vt:lpwstr>
  </property>
</Properties>
</file>