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540"/>
        </w:tabs>
        <w:jc w:val="center"/>
        <w:rPr>
          <w:rFonts w:hint="eastAsia"/>
          <w:sz w:val="36"/>
          <w:szCs w:val="36"/>
          <w:lang w:val="en-US" w:eastAsia="zh-CN"/>
        </w:rPr>
      </w:pPr>
      <w:r>
        <w:rPr>
          <w:rFonts w:hint="eastAsia"/>
          <w:sz w:val="36"/>
          <w:szCs w:val="36"/>
          <w:lang w:val="en-US" w:eastAsia="zh-CN"/>
        </w:rPr>
        <w:t>2021年全国职业院校技能大赛高职组安徽省选拔赛</w:t>
      </w:r>
    </w:p>
    <w:p>
      <w:pPr>
        <w:pStyle w:val="2"/>
        <w:tabs>
          <w:tab w:val="left" w:pos="1540"/>
        </w:tabs>
        <w:jc w:val="center"/>
        <w:rPr>
          <w:sz w:val="44"/>
          <w:szCs w:val="44"/>
        </w:rPr>
      </w:pPr>
      <w:r>
        <w:rPr>
          <w:rFonts w:hint="eastAsia"/>
          <w:sz w:val="44"/>
          <w:szCs w:val="44"/>
          <w:lang w:val="en-US" w:eastAsia="zh-CN"/>
        </w:rPr>
        <w:t>电子产品设计及制作赛项竞赛规程</w:t>
      </w:r>
    </w:p>
    <w:p>
      <w:pPr>
        <w:pStyle w:val="3"/>
        <w:spacing w:before="249"/>
      </w:pPr>
    </w:p>
    <w:p>
      <w:pPr>
        <w:pStyle w:val="4"/>
        <w:spacing w:before="201" w:line="374" w:lineRule="auto"/>
        <w:ind w:right="202" w:firstLine="559"/>
        <w:rPr>
          <w:b/>
          <w:sz w:val="28"/>
        </w:rPr>
      </w:pPr>
      <w:r>
        <w:rPr>
          <w:b/>
          <w:sz w:val="28"/>
        </w:rPr>
        <w:t>一、赛项名称</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赛项名称：电子产品设计及制作</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spacing w:val="-8"/>
        </w:rPr>
        <w:t>英语翻译：</w:t>
      </w:r>
      <w:r>
        <w:rPr>
          <w:rFonts w:hint="default" w:ascii="Times New Roman" w:hAnsi="Times New Roman" w:cs="Times New Roman"/>
          <w:spacing w:val="-8"/>
        </w:rPr>
        <w:t>Electronic Product Design and Production</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赛项组别：高职组</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赛项归属产业：电子信息大类</w:t>
      </w:r>
    </w:p>
    <w:p>
      <w:pPr>
        <w:pStyle w:val="4"/>
        <w:spacing w:before="201" w:line="374" w:lineRule="auto"/>
        <w:ind w:right="202" w:firstLine="559"/>
        <w:rPr>
          <w:b/>
          <w:sz w:val="28"/>
        </w:rPr>
      </w:pPr>
      <w:r>
        <w:rPr>
          <w:b/>
          <w:sz w:val="28"/>
        </w:rPr>
        <w:t>二、</w:t>
      </w:r>
      <w:r>
        <w:rPr>
          <w:rFonts w:hint="eastAsia"/>
          <w:b/>
          <w:sz w:val="28"/>
          <w:lang w:eastAsia="zh-CN"/>
        </w:rPr>
        <w:t>选拔赛</w:t>
      </w:r>
      <w:r>
        <w:rPr>
          <w:b/>
          <w:sz w:val="28"/>
        </w:rPr>
        <w:t>目的</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通过</w:t>
      </w:r>
      <w:r>
        <w:rPr>
          <w:rFonts w:hint="eastAsia"/>
          <w:spacing w:val="-8"/>
          <w:lang w:eastAsia="zh-CN"/>
        </w:rPr>
        <w:t>选拔赛</w:t>
      </w:r>
      <w:r>
        <w:rPr>
          <w:spacing w:val="-8"/>
        </w:rPr>
        <w:t>，检验参赛选手在模拟真实的工作环境与条件下实现电子产品在规定设计方案（规定原理图与结构要求）下的工艺能力和职业素质，包括对常用电子产品制作工具的应用、电子产品的辅助设计能力、电子产品软硬件调试能力、电子产品的加工方法和工艺的操作技能、电子仪器仪表的使用、现场问题的分析与处理、团队协作和创新能力、安全、环保等意识，引导高职院校关注现代电子行业的发展趋势与技术应用方向，指导和推动电子信息类专业开展现代电子技术应用专业方向的课程建设和教学改革，加快电子信息类专业高素质技能型人才的培养，增强技能型人才的就业竞争力。</w:t>
      </w:r>
    </w:p>
    <w:p>
      <w:pPr>
        <w:pStyle w:val="4"/>
        <w:spacing w:before="201" w:line="374" w:lineRule="auto"/>
        <w:ind w:right="202" w:firstLine="559"/>
        <w:rPr>
          <w:b/>
          <w:sz w:val="28"/>
        </w:rPr>
      </w:pPr>
      <w:r>
        <w:rPr>
          <w:b/>
          <w:sz w:val="28"/>
        </w:rPr>
        <w:t>三、</w:t>
      </w:r>
      <w:r>
        <w:rPr>
          <w:rFonts w:hint="eastAsia"/>
          <w:b/>
          <w:sz w:val="28"/>
          <w:lang w:eastAsia="zh-CN"/>
        </w:rPr>
        <w:t>选拔赛</w:t>
      </w:r>
      <w:r>
        <w:rPr>
          <w:b/>
          <w:sz w:val="28"/>
        </w:rPr>
        <w:t>内容</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本赛项主要考查高职电子信息类专业学生电子产品设计与开发能力，赛项要求参赛选手在规定时间内完成任务书要求的功能电路的设计、绘制、制作、焊接、调试，并将该电路装配到某一电子产品当</w:t>
      </w:r>
      <w:r>
        <w:rPr>
          <w:rFonts w:hint="eastAsia"/>
          <w:spacing w:val="-8"/>
          <w:lang w:val="en-US" w:eastAsia="zh-CN"/>
        </w:rPr>
        <w:t>中</w:t>
      </w:r>
      <w:r>
        <w:rPr>
          <w:spacing w:val="-8"/>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（一）电子设计工艺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按照</w:t>
      </w:r>
      <w:r>
        <w:rPr>
          <w:rFonts w:hint="eastAsia"/>
          <w:spacing w:val="-8"/>
          <w:lang w:eastAsia="zh-CN"/>
        </w:rPr>
        <w:t>选拔赛</w:t>
      </w:r>
      <w:r>
        <w:rPr>
          <w:spacing w:val="-8"/>
        </w:rPr>
        <w:t>任务书，以给定的电路框图为基础设计部分原理图，并根据约束条件使用</w:t>
      </w:r>
      <w:r>
        <w:rPr>
          <w:rFonts w:hint="default" w:ascii="Times New Roman" w:hAnsi="Times New Roman" w:cs="Times New Roman"/>
          <w:spacing w:val="-8"/>
        </w:rPr>
        <w:t>Altium Designer</w:t>
      </w:r>
      <w:r>
        <w:rPr>
          <w:spacing w:val="-8"/>
        </w:rPr>
        <w:t>软件，绘制印刷线路板图。</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w:t>
      </w:r>
      <w:r>
        <w:rPr>
          <w:rFonts w:hint="eastAsia"/>
          <w:spacing w:val="-8"/>
        </w:rPr>
        <w:t>二</w:t>
      </w:r>
      <w:r>
        <w:rPr>
          <w:spacing w:val="-8"/>
        </w:rPr>
        <w:t>）电子装接工艺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利用</w:t>
      </w:r>
      <w:r>
        <w:rPr>
          <w:rFonts w:hint="eastAsia"/>
          <w:spacing w:val="-8"/>
          <w:lang w:eastAsia="zh-CN"/>
        </w:rPr>
        <w:t>选拔赛</w:t>
      </w:r>
      <w:r>
        <w:rPr>
          <w:spacing w:val="-8"/>
        </w:rPr>
        <w:t>提供的 PCB 板和元器件套件，完成</w:t>
      </w:r>
      <w:r>
        <w:rPr>
          <w:rFonts w:hint="eastAsia"/>
          <w:spacing w:val="-8"/>
          <w:lang w:eastAsia="zh-CN"/>
        </w:rPr>
        <w:t>选拔赛</w:t>
      </w:r>
      <w:r>
        <w:rPr>
          <w:spacing w:val="-8"/>
        </w:rPr>
        <w:t>作品硬件焊接、安装和调试等工作。</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w:t>
      </w:r>
      <w:r>
        <w:rPr>
          <w:rFonts w:hint="eastAsia"/>
          <w:spacing w:val="-8"/>
        </w:rPr>
        <w:t>三</w:t>
      </w:r>
      <w:r>
        <w:rPr>
          <w:spacing w:val="-8"/>
        </w:rPr>
        <w:t>）任务与功能实现</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按照赛题要求，编写硬件控制程序，完成赛题任务。任务内容主要包括：电机控制算法、机器人姿态控制、走珠定位、路径识别等。主要涉及的专业技术包括：嵌入式编程、传感器数据监测与应用、图像采集与识别等。</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w:t>
      </w:r>
      <w:r>
        <w:rPr>
          <w:rFonts w:hint="eastAsia"/>
          <w:spacing w:val="-8"/>
        </w:rPr>
        <w:t>四</w:t>
      </w:r>
      <w:r>
        <w:rPr>
          <w:spacing w:val="-8"/>
        </w:rPr>
        <w:t>）安全操作规范</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操作实施规范、工具摆放整齐、工位保持整洁、符合职业岗位的安全生产要求。</w:t>
      </w:r>
    </w:p>
    <w:p>
      <w:pPr>
        <w:pStyle w:val="4"/>
        <w:spacing w:before="201" w:line="374" w:lineRule="auto"/>
        <w:ind w:right="202" w:firstLine="559"/>
        <w:rPr>
          <w:b/>
          <w:sz w:val="28"/>
        </w:rPr>
      </w:pPr>
      <w:r>
        <w:rPr>
          <w:b/>
          <w:sz w:val="28"/>
        </w:rPr>
        <w:t>四、</w:t>
      </w:r>
      <w:r>
        <w:rPr>
          <w:rFonts w:hint="eastAsia"/>
          <w:b/>
          <w:sz w:val="28"/>
          <w:lang w:eastAsia="zh-CN"/>
        </w:rPr>
        <w:t>选拔赛</w:t>
      </w:r>
      <w:r>
        <w:rPr>
          <w:b/>
          <w:sz w:val="28"/>
        </w:rPr>
        <w:t>方式</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（一）</w:t>
      </w:r>
      <w:r>
        <w:rPr>
          <w:rFonts w:hint="eastAsia"/>
          <w:spacing w:val="-8"/>
          <w:lang w:eastAsia="zh-CN"/>
        </w:rPr>
        <w:t>选拔赛</w:t>
      </w:r>
      <w:r>
        <w:rPr>
          <w:spacing w:val="-8"/>
        </w:rPr>
        <w:t>以团队方式进行，不计选手个人成绩，统计参赛队的总成绩并进行排名。</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default" w:ascii="Times New Roman" w:hAnsi="Times New Roman" w:cs="Times New Roman"/>
          <w:spacing w:val="-8"/>
        </w:rPr>
        <w:t>（二）每校参赛队数量</w:t>
      </w:r>
      <w:r>
        <w:rPr>
          <w:rFonts w:hint="default" w:ascii="Times New Roman" w:hAnsi="Times New Roman" w:cs="Times New Roman"/>
          <w:spacing w:val="-8"/>
          <w:lang w:val="en-US" w:eastAsia="zh-CN"/>
        </w:rPr>
        <w:t>原则上</w:t>
      </w:r>
      <w:r>
        <w:rPr>
          <w:rFonts w:hint="default" w:ascii="Times New Roman" w:hAnsi="Times New Roman" w:cs="Times New Roman"/>
          <w:spacing w:val="-8"/>
        </w:rPr>
        <w:t>不超过 2 支，每支参赛队由 3 名参赛选手组成，3 名选手须为同校在籍学生，其中队长 1 名，性别和年级不限。</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default" w:ascii="Times New Roman" w:hAnsi="Times New Roman" w:cs="Times New Roman"/>
          <w:spacing w:val="-8"/>
        </w:rPr>
        <w:t>（三）每支参赛队限报指导教师 2 名，指导教师须为本校专兼职教师。</w:t>
      </w:r>
      <w:r>
        <w:rPr>
          <w:rFonts w:hint="default" w:ascii="Times New Roman" w:hAnsi="Times New Roman" w:cs="Times New Roman"/>
          <w:spacing w:val="-8"/>
          <w:lang w:eastAsia="zh-CN"/>
        </w:rPr>
        <w:t>选拔赛</w:t>
      </w:r>
      <w:r>
        <w:rPr>
          <w:rFonts w:hint="default" w:ascii="Times New Roman" w:hAnsi="Times New Roman" w:cs="Times New Roman"/>
          <w:spacing w:val="-8"/>
        </w:rPr>
        <w:t>期间不允许指导教师进入赛场进行现场指导。</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eastAsia" w:ascii="Times New Roman" w:hAnsi="Times New Roman" w:cs="Times New Roman"/>
          <w:spacing w:val="-8"/>
        </w:rPr>
      </w:pPr>
      <w:r>
        <w:rPr>
          <w:rFonts w:hint="default" w:ascii="Times New Roman" w:hAnsi="Times New Roman" w:cs="Times New Roman"/>
          <w:spacing w:val="-8"/>
        </w:rPr>
        <w:t>（四）参赛学生条件依据皖教秘高〔2021〕30号执行。</w:t>
      </w:r>
      <w:r>
        <w:rPr>
          <w:rFonts w:hint="eastAsia" w:ascii="Times New Roman" w:hAnsi="Times New Roman" w:cs="Times New Roman"/>
          <w:spacing w:val="-8"/>
        </w:rPr>
        <w:t>选手在报到时提交学信网下载打印的教育部学籍在线验证报告。</w:t>
      </w:r>
    </w:p>
    <w:p>
      <w:pPr>
        <w:rPr>
          <w:b/>
          <w:sz w:val="28"/>
        </w:rPr>
      </w:pPr>
      <w:r>
        <w:rPr>
          <w:b/>
          <w:sz w:val="28"/>
        </w:rPr>
        <w:br w:type="page"/>
      </w:r>
    </w:p>
    <w:p>
      <w:pPr>
        <w:pStyle w:val="4"/>
        <w:spacing w:before="201" w:line="374" w:lineRule="auto"/>
        <w:ind w:right="202" w:firstLine="559"/>
        <w:rPr>
          <w:b/>
          <w:sz w:val="28"/>
        </w:rPr>
      </w:pPr>
      <w:r>
        <w:rPr>
          <w:b/>
          <w:sz w:val="28"/>
        </w:rPr>
        <w:t>五、</w:t>
      </w:r>
      <w:r>
        <w:rPr>
          <w:rFonts w:hint="eastAsia"/>
          <w:b/>
          <w:sz w:val="28"/>
          <w:lang w:eastAsia="zh-CN"/>
        </w:rPr>
        <w:t>选拔赛</w:t>
      </w:r>
      <w:r>
        <w:rPr>
          <w:b/>
          <w:sz w:val="28"/>
        </w:rPr>
        <w:t>流程</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eastAsia" w:ascii="Times New Roman" w:hAnsi="Times New Roman" w:cs="Times New Roman"/>
          <w:spacing w:val="-8"/>
          <w:lang w:val="en-US" w:eastAsia="zh-CN"/>
        </w:rPr>
      </w:pPr>
      <w:r>
        <w:rPr>
          <w:rFonts w:hint="eastAsia" w:ascii="Times New Roman" w:hAnsi="Times New Roman" w:cs="Times New Roman"/>
          <w:spacing w:val="-8"/>
          <w:lang w:val="en-US" w:eastAsia="zh-CN"/>
        </w:rPr>
        <w:t>竞赛时间为2021年4月18号，17号报到，报到地点为池州职业技术学院图书馆1楼大厅。竞赛时长：5小时。</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390" w:firstLineChars="200"/>
        <w:jc w:val="center"/>
        <w:textAlignment w:val="auto"/>
        <w:rPr>
          <w:rFonts w:hint="eastAsia" w:ascii="Times New Roman" w:hAnsi="Times New Roman" w:cs="Times New Roman"/>
          <w:b/>
          <w:bCs/>
          <w:spacing w:val="-8"/>
          <w:sz w:val="21"/>
          <w:szCs w:val="21"/>
          <w:lang w:val="en-US" w:eastAsia="zh-CN"/>
        </w:rPr>
      </w:pPr>
      <w:r>
        <w:rPr>
          <w:rFonts w:hint="eastAsia" w:ascii="Times New Roman" w:hAnsi="Times New Roman" w:cs="Times New Roman"/>
          <w:b/>
          <w:bCs/>
          <w:spacing w:val="-8"/>
          <w:sz w:val="21"/>
          <w:szCs w:val="21"/>
          <w:lang w:val="en-US" w:eastAsia="zh-CN"/>
        </w:rPr>
        <w:t xml:space="preserve"> 表 1 “电子产品设计及制作”选拔赛日程表</w:t>
      </w:r>
    </w:p>
    <w:p>
      <w:pPr>
        <w:pStyle w:val="4"/>
        <w:spacing w:before="9" w:after="1"/>
        <w:ind w:left="0"/>
        <w:rPr>
          <w:b/>
          <w:sz w:val="10"/>
        </w:rPr>
      </w:pPr>
    </w:p>
    <w:tbl>
      <w:tblPr>
        <w:tblStyle w:val="10"/>
        <w:tblW w:w="8142"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7"/>
        <w:gridCol w:w="1575"/>
        <w:gridCol w:w="4471"/>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Align w:val="center"/>
          </w:tcPr>
          <w:p>
            <w:pPr>
              <w:pStyle w:val="12"/>
              <w:spacing w:before="152"/>
              <w:ind w:left="369"/>
              <w:jc w:val="center"/>
              <w:rPr>
                <w:b/>
                <w:sz w:val="21"/>
              </w:rPr>
            </w:pPr>
            <w:r>
              <w:rPr>
                <w:b/>
                <w:sz w:val="21"/>
              </w:rPr>
              <w:t>日期</w:t>
            </w:r>
          </w:p>
        </w:tc>
        <w:tc>
          <w:tcPr>
            <w:tcW w:w="1575" w:type="dxa"/>
            <w:vAlign w:val="center"/>
          </w:tcPr>
          <w:p>
            <w:pPr>
              <w:pStyle w:val="12"/>
              <w:spacing w:before="152"/>
              <w:ind w:left="476" w:right="475"/>
              <w:jc w:val="center"/>
              <w:rPr>
                <w:b/>
                <w:sz w:val="21"/>
              </w:rPr>
            </w:pPr>
            <w:r>
              <w:rPr>
                <w:b/>
                <w:sz w:val="21"/>
              </w:rPr>
              <w:t>时间</w:t>
            </w:r>
          </w:p>
        </w:tc>
        <w:tc>
          <w:tcPr>
            <w:tcW w:w="5580" w:type="dxa"/>
            <w:gridSpan w:val="2"/>
            <w:vAlign w:val="center"/>
          </w:tcPr>
          <w:p>
            <w:pPr>
              <w:pStyle w:val="12"/>
              <w:spacing w:before="152"/>
              <w:ind w:left="6" w:right="1"/>
              <w:jc w:val="center"/>
              <w:rPr>
                <w:b/>
                <w:sz w:val="21"/>
              </w:rPr>
            </w:pPr>
            <w:r>
              <w:rPr>
                <w:b/>
                <w:sz w:val="21"/>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restart"/>
            <w:vAlign w:val="center"/>
          </w:tcPr>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r>
              <w:rPr>
                <w:rFonts w:hint="eastAsia"/>
                <w:sz w:val="21"/>
                <w:lang w:val="en-US" w:eastAsia="zh-CN"/>
              </w:rPr>
              <w:t>2021年</w:t>
            </w:r>
          </w:p>
          <w:p>
            <w:pPr>
              <w:pStyle w:val="12"/>
              <w:jc w:val="center"/>
              <w:rPr>
                <w:rFonts w:hint="default"/>
                <w:sz w:val="21"/>
                <w:lang w:val="en-US" w:eastAsia="zh-CN"/>
              </w:rPr>
            </w:pPr>
            <w:r>
              <w:rPr>
                <w:rFonts w:hint="eastAsia"/>
                <w:sz w:val="21"/>
                <w:lang w:val="en-US" w:eastAsia="zh-CN"/>
              </w:rPr>
              <w:t>4月17日</w:t>
            </w:r>
          </w:p>
        </w:tc>
        <w:tc>
          <w:tcPr>
            <w:tcW w:w="1575" w:type="dxa"/>
            <w:vAlign w:val="center"/>
          </w:tcPr>
          <w:p>
            <w:pPr>
              <w:pStyle w:val="12"/>
              <w:spacing w:before="197"/>
              <w:ind w:right="243"/>
              <w:jc w:val="center"/>
              <w:rPr>
                <w:rFonts w:ascii="Times New Roman"/>
                <w:sz w:val="21"/>
              </w:rPr>
            </w:pPr>
            <w:r>
              <w:rPr>
                <w:rFonts w:ascii="Times New Roman"/>
                <w:sz w:val="21"/>
              </w:rPr>
              <w:t>8:30-14:30</w:t>
            </w:r>
          </w:p>
        </w:tc>
        <w:tc>
          <w:tcPr>
            <w:tcW w:w="4471" w:type="dxa"/>
            <w:vAlign w:val="center"/>
          </w:tcPr>
          <w:p>
            <w:pPr>
              <w:pStyle w:val="12"/>
              <w:spacing w:before="6"/>
              <w:jc w:val="center"/>
              <w:rPr>
                <w:b/>
                <w:sz w:val="14"/>
              </w:rPr>
            </w:pPr>
          </w:p>
          <w:p>
            <w:pPr>
              <w:pStyle w:val="12"/>
              <w:ind w:left="6" w:right="1"/>
              <w:jc w:val="center"/>
              <w:rPr>
                <w:rFonts w:hint="eastAsia" w:eastAsia="宋体"/>
                <w:sz w:val="21"/>
                <w:lang w:eastAsia="zh-CN"/>
              </w:rPr>
            </w:pPr>
            <w:r>
              <w:rPr>
                <w:sz w:val="21"/>
              </w:rPr>
              <w:t>各参赛队报到、领取参赛证</w:t>
            </w:r>
            <w:r>
              <w:rPr>
                <w:rFonts w:hint="eastAsia"/>
                <w:sz w:val="21"/>
                <w:lang w:eastAsia="zh-CN"/>
              </w:rPr>
              <w:t>（</w:t>
            </w:r>
            <w:r>
              <w:rPr>
                <w:rFonts w:hint="eastAsia"/>
                <w:sz w:val="21"/>
                <w:lang w:val="en-US" w:eastAsia="zh-CN"/>
              </w:rPr>
              <w:t>池州职业技术学院图书馆1楼大厅</w:t>
            </w:r>
            <w:r>
              <w:rPr>
                <w:rFonts w:hint="eastAsia"/>
                <w:sz w:val="21"/>
                <w:lang w:eastAsia="zh-CN"/>
              </w:rPr>
              <w:t>）</w:t>
            </w:r>
          </w:p>
        </w:tc>
        <w:tc>
          <w:tcPr>
            <w:tcW w:w="1109" w:type="dxa"/>
            <w:vMerge w:val="restart"/>
            <w:vAlign w:val="center"/>
          </w:tcPr>
          <w:p>
            <w:pPr>
              <w:pStyle w:val="12"/>
              <w:spacing w:before="126"/>
              <w:ind w:left="276" w:right="262"/>
              <w:jc w:val="center"/>
              <w:rPr>
                <w:rFonts w:hint="eastAsia"/>
                <w:spacing w:val="-14"/>
                <w:sz w:val="21"/>
                <w:lang w:val="en-US" w:eastAsia="zh-CN"/>
              </w:rPr>
            </w:pPr>
          </w:p>
          <w:p>
            <w:pPr>
              <w:pStyle w:val="12"/>
              <w:spacing w:before="126"/>
              <w:ind w:left="276" w:right="262"/>
              <w:jc w:val="center"/>
              <w:rPr>
                <w:rFonts w:hint="default"/>
                <w:spacing w:val="-14"/>
                <w:sz w:val="21"/>
                <w:lang w:val="en-US" w:eastAsia="zh-CN"/>
              </w:rPr>
            </w:pPr>
            <w:r>
              <w:rPr>
                <w:rFonts w:hint="eastAsia"/>
                <w:spacing w:val="-14"/>
                <w:sz w:val="21"/>
                <w:lang w:val="en-US" w:eastAsia="zh-CN"/>
              </w:rPr>
              <w:t>赛前准备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pStyle w:val="12"/>
              <w:jc w:val="center"/>
              <w:rPr>
                <w:rFonts w:hint="eastAsia"/>
                <w:sz w:val="21"/>
                <w:lang w:val="en-US" w:eastAsia="zh-CN"/>
              </w:rPr>
            </w:pPr>
          </w:p>
        </w:tc>
        <w:tc>
          <w:tcPr>
            <w:tcW w:w="1575" w:type="dxa"/>
            <w:vAlign w:val="center"/>
          </w:tcPr>
          <w:p>
            <w:pPr>
              <w:pStyle w:val="12"/>
              <w:spacing w:before="163"/>
              <w:ind w:right="190"/>
              <w:jc w:val="center"/>
              <w:rPr>
                <w:rFonts w:ascii="Times New Roman"/>
                <w:sz w:val="21"/>
              </w:rPr>
            </w:pPr>
            <w:r>
              <w:rPr>
                <w:rFonts w:ascii="Times New Roman"/>
                <w:sz w:val="21"/>
              </w:rPr>
              <w:t>14:30-15:30</w:t>
            </w:r>
          </w:p>
        </w:tc>
        <w:tc>
          <w:tcPr>
            <w:tcW w:w="4471" w:type="dxa"/>
            <w:vAlign w:val="center"/>
          </w:tcPr>
          <w:p>
            <w:pPr>
              <w:pStyle w:val="12"/>
              <w:spacing w:before="152"/>
              <w:ind w:left="10" w:right="1"/>
              <w:jc w:val="center"/>
              <w:rPr>
                <w:rFonts w:hint="default" w:eastAsia="宋体"/>
                <w:sz w:val="21"/>
                <w:lang w:val="en-US" w:eastAsia="zh-CN"/>
              </w:rPr>
            </w:pPr>
            <w:r>
              <w:rPr>
                <w:rFonts w:hint="eastAsia"/>
                <w:sz w:val="21"/>
                <w:lang w:val="en-US" w:eastAsia="zh-CN"/>
              </w:rPr>
              <w:t>领队会议</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pStyle w:val="12"/>
              <w:jc w:val="center"/>
              <w:rPr>
                <w:rFonts w:hint="eastAsia"/>
                <w:sz w:val="21"/>
                <w:lang w:val="en-US" w:eastAsia="zh-CN"/>
              </w:rPr>
            </w:pPr>
          </w:p>
        </w:tc>
        <w:tc>
          <w:tcPr>
            <w:tcW w:w="1575" w:type="dxa"/>
            <w:vAlign w:val="center"/>
          </w:tcPr>
          <w:p>
            <w:pPr>
              <w:pStyle w:val="12"/>
              <w:spacing w:before="133"/>
              <w:ind w:right="190"/>
              <w:jc w:val="center"/>
              <w:rPr>
                <w:rFonts w:hint="default" w:ascii="Times New Roman" w:eastAsia="宋体"/>
                <w:sz w:val="21"/>
                <w:lang w:val="en-US" w:eastAsia="zh-CN"/>
              </w:rPr>
            </w:pPr>
            <w:r>
              <w:rPr>
                <w:rFonts w:ascii="Times New Roman"/>
                <w:sz w:val="21"/>
              </w:rPr>
              <w:t>1</w:t>
            </w:r>
            <w:r>
              <w:rPr>
                <w:rFonts w:hint="eastAsia" w:ascii="Times New Roman"/>
                <w:sz w:val="21"/>
                <w:lang w:val="en-US" w:eastAsia="zh-CN"/>
              </w:rPr>
              <w:t>4:30-16:00</w:t>
            </w:r>
          </w:p>
        </w:tc>
        <w:tc>
          <w:tcPr>
            <w:tcW w:w="4471" w:type="dxa"/>
            <w:vAlign w:val="center"/>
          </w:tcPr>
          <w:p>
            <w:pPr>
              <w:pStyle w:val="12"/>
              <w:spacing w:before="121"/>
              <w:ind w:left="10" w:right="1"/>
              <w:jc w:val="center"/>
              <w:rPr>
                <w:sz w:val="21"/>
              </w:rPr>
            </w:pPr>
            <w:r>
              <w:rPr>
                <w:rFonts w:hint="eastAsia"/>
                <w:sz w:val="21"/>
                <w:lang w:val="en-US" w:eastAsia="zh-CN"/>
              </w:rPr>
              <w:t>参赛队</w:t>
            </w:r>
            <w:r>
              <w:rPr>
                <w:sz w:val="21"/>
              </w:rPr>
              <w:t>熟悉</w:t>
            </w:r>
            <w:r>
              <w:rPr>
                <w:rFonts w:hint="eastAsia"/>
                <w:sz w:val="21"/>
                <w:lang w:val="en-US" w:eastAsia="zh-CN"/>
              </w:rPr>
              <w:t>选拔赛场地</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pStyle w:val="12"/>
              <w:jc w:val="center"/>
              <w:rPr>
                <w:rFonts w:hint="eastAsia"/>
                <w:sz w:val="21"/>
                <w:lang w:val="en-US" w:eastAsia="zh-CN"/>
              </w:rPr>
            </w:pPr>
          </w:p>
        </w:tc>
        <w:tc>
          <w:tcPr>
            <w:tcW w:w="1575" w:type="dxa"/>
            <w:vAlign w:val="center"/>
          </w:tcPr>
          <w:p>
            <w:pPr>
              <w:pStyle w:val="12"/>
              <w:spacing w:before="133"/>
              <w:ind w:right="190"/>
              <w:jc w:val="center"/>
              <w:rPr>
                <w:rFonts w:ascii="Times New Roman"/>
                <w:sz w:val="21"/>
              </w:rPr>
            </w:pPr>
            <w:r>
              <w:rPr>
                <w:rFonts w:ascii="Times New Roman"/>
                <w:sz w:val="21"/>
              </w:rPr>
              <w:t>1</w:t>
            </w:r>
            <w:r>
              <w:rPr>
                <w:rFonts w:hint="eastAsia" w:ascii="Times New Roman"/>
                <w:sz w:val="21"/>
                <w:lang w:val="en-US" w:eastAsia="zh-CN"/>
              </w:rPr>
              <w:t>5</w:t>
            </w:r>
            <w:r>
              <w:rPr>
                <w:rFonts w:ascii="Times New Roman"/>
                <w:sz w:val="21"/>
              </w:rPr>
              <w:t>:</w:t>
            </w:r>
            <w:r>
              <w:rPr>
                <w:rFonts w:hint="eastAsia" w:ascii="Times New Roman"/>
                <w:sz w:val="21"/>
                <w:lang w:val="en-US" w:eastAsia="zh-CN"/>
              </w:rPr>
              <w:t>3</w:t>
            </w:r>
            <w:r>
              <w:rPr>
                <w:rFonts w:ascii="Times New Roman"/>
                <w:sz w:val="21"/>
              </w:rPr>
              <w:t>0-16:</w:t>
            </w:r>
            <w:r>
              <w:rPr>
                <w:rFonts w:hint="eastAsia" w:ascii="Times New Roman"/>
                <w:sz w:val="21"/>
                <w:lang w:val="en-US" w:eastAsia="zh-CN"/>
              </w:rPr>
              <w:t>0</w:t>
            </w:r>
            <w:r>
              <w:rPr>
                <w:rFonts w:ascii="Times New Roman"/>
                <w:sz w:val="21"/>
              </w:rPr>
              <w:t>0</w:t>
            </w:r>
          </w:p>
        </w:tc>
        <w:tc>
          <w:tcPr>
            <w:tcW w:w="4471" w:type="dxa"/>
            <w:vAlign w:val="center"/>
          </w:tcPr>
          <w:p>
            <w:pPr>
              <w:pStyle w:val="12"/>
              <w:spacing w:before="94"/>
              <w:ind w:left="8" w:right="1"/>
              <w:jc w:val="center"/>
              <w:rPr>
                <w:rFonts w:hint="default"/>
                <w:sz w:val="21"/>
                <w:lang w:val="en-US"/>
              </w:rPr>
            </w:pPr>
            <w:r>
              <w:rPr>
                <w:sz w:val="21"/>
              </w:rPr>
              <w:t>裁判</w:t>
            </w:r>
            <w:r>
              <w:rPr>
                <w:rFonts w:hint="eastAsia"/>
                <w:sz w:val="21"/>
                <w:lang w:val="en-US" w:eastAsia="zh-CN"/>
              </w:rPr>
              <w:t>会议</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pStyle w:val="12"/>
              <w:jc w:val="center"/>
              <w:rPr>
                <w:rFonts w:hint="eastAsia"/>
                <w:sz w:val="21"/>
                <w:lang w:val="en-US" w:eastAsia="zh-CN"/>
              </w:rPr>
            </w:pPr>
          </w:p>
        </w:tc>
        <w:tc>
          <w:tcPr>
            <w:tcW w:w="1575" w:type="dxa"/>
            <w:vAlign w:val="center"/>
          </w:tcPr>
          <w:p>
            <w:pPr>
              <w:pStyle w:val="12"/>
              <w:spacing w:before="133"/>
              <w:ind w:right="190"/>
              <w:jc w:val="center"/>
              <w:rPr>
                <w:rFonts w:ascii="Times New Roman"/>
                <w:sz w:val="21"/>
              </w:rPr>
            </w:pPr>
            <w:r>
              <w:rPr>
                <w:rFonts w:ascii="Times New Roman"/>
                <w:sz w:val="21"/>
              </w:rPr>
              <w:t>16:</w:t>
            </w:r>
            <w:r>
              <w:rPr>
                <w:rFonts w:hint="eastAsia" w:ascii="Times New Roman"/>
                <w:sz w:val="21"/>
                <w:lang w:val="en-US" w:eastAsia="zh-CN"/>
              </w:rPr>
              <w:t>0</w:t>
            </w:r>
            <w:r>
              <w:rPr>
                <w:rFonts w:ascii="Times New Roman"/>
                <w:sz w:val="21"/>
              </w:rPr>
              <w:t>0</w:t>
            </w:r>
          </w:p>
        </w:tc>
        <w:tc>
          <w:tcPr>
            <w:tcW w:w="4471" w:type="dxa"/>
            <w:vAlign w:val="center"/>
          </w:tcPr>
          <w:p>
            <w:pPr>
              <w:pStyle w:val="12"/>
              <w:spacing w:before="94"/>
              <w:ind w:left="10" w:right="1"/>
              <w:jc w:val="center"/>
              <w:rPr>
                <w:sz w:val="21"/>
              </w:rPr>
            </w:pPr>
            <w:r>
              <w:rPr>
                <w:sz w:val="21"/>
              </w:rPr>
              <w:t>赛场</w:t>
            </w:r>
            <w:r>
              <w:rPr>
                <w:rFonts w:hint="eastAsia"/>
                <w:sz w:val="21"/>
                <w:lang w:val="en-US" w:eastAsia="zh-CN"/>
              </w:rPr>
              <w:t>检查并</w:t>
            </w:r>
            <w:r>
              <w:rPr>
                <w:sz w:val="21"/>
              </w:rPr>
              <w:t>封闭</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restart"/>
            <w:vAlign w:val="center"/>
          </w:tcPr>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p>
          <w:p>
            <w:pPr>
              <w:pStyle w:val="12"/>
              <w:jc w:val="center"/>
              <w:rPr>
                <w:rFonts w:hint="eastAsia"/>
                <w:sz w:val="21"/>
                <w:lang w:val="en-US" w:eastAsia="zh-CN"/>
              </w:rPr>
            </w:pPr>
            <w:r>
              <w:rPr>
                <w:rFonts w:hint="eastAsia"/>
                <w:sz w:val="21"/>
                <w:lang w:val="en-US" w:eastAsia="zh-CN"/>
              </w:rPr>
              <w:t>2021年</w:t>
            </w:r>
          </w:p>
          <w:p>
            <w:pPr>
              <w:pStyle w:val="12"/>
              <w:jc w:val="center"/>
              <w:rPr>
                <w:rFonts w:hint="default"/>
                <w:sz w:val="21"/>
                <w:lang w:val="en-US" w:eastAsia="zh-CN"/>
              </w:rPr>
            </w:pPr>
            <w:r>
              <w:rPr>
                <w:rFonts w:hint="eastAsia"/>
                <w:sz w:val="21"/>
                <w:lang w:val="en-US" w:eastAsia="zh-CN"/>
              </w:rPr>
              <w:t>4月18日</w:t>
            </w:r>
          </w:p>
        </w:tc>
        <w:tc>
          <w:tcPr>
            <w:tcW w:w="1575" w:type="dxa"/>
            <w:vAlign w:val="center"/>
          </w:tcPr>
          <w:p>
            <w:pPr>
              <w:pStyle w:val="12"/>
              <w:spacing w:before="133"/>
              <w:ind w:right="190"/>
              <w:jc w:val="center"/>
              <w:rPr>
                <w:rFonts w:ascii="Times New Roman"/>
                <w:sz w:val="21"/>
              </w:rPr>
            </w:pPr>
            <w:r>
              <w:rPr>
                <w:rFonts w:hint="eastAsia" w:ascii="Times New Roman"/>
                <w:sz w:val="21"/>
                <w:lang w:val="en-US" w:eastAsia="zh-CN"/>
              </w:rPr>
              <w:t>8</w:t>
            </w:r>
            <w:r>
              <w:rPr>
                <w:rFonts w:hint="eastAsia" w:ascii="Times New Roman"/>
                <w:sz w:val="21"/>
              </w:rPr>
              <w:t>:00</w:t>
            </w:r>
            <w:r>
              <w:rPr>
                <w:rFonts w:hint="eastAsia" w:ascii="Times New Roman"/>
                <w:sz w:val="21"/>
                <w:lang w:val="en-US" w:eastAsia="zh-CN"/>
              </w:rPr>
              <w:t>-8</w:t>
            </w:r>
            <w:r>
              <w:rPr>
                <w:rFonts w:hint="eastAsia" w:ascii="Times New Roman"/>
                <w:sz w:val="21"/>
              </w:rPr>
              <w:t>:30</w:t>
            </w:r>
          </w:p>
        </w:tc>
        <w:tc>
          <w:tcPr>
            <w:tcW w:w="4471" w:type="dxa"/>
            <w:vAlign w:val="center"/>
          </w:tcPr>
          <w:p>
            <w:pPr>
              <w:pStyle w:val="12"/>
              <w:spacing w:before="94"/>
              <w:ind w:left="8" w:right="1"/>
              <w:jc w:val="center"/>
              <w:rPr>
                <w:sz w:val="21"/>
              </w:rPr>
            </w:pPr>
            <w:r>
              <w:rPr>
                <w:rFonts w:hint="eastAsia"/>
                <w:sz w:val="21"/>
              </w:rPr>
              <w:t>裁判</w:t>
            </w:r>
            <w:r>
              <w:rPr>
                <w:rFonts w:hint="eastAsia"/>
                <w:sz w:val="21"/>
                <w:lang w:val="en-US" w:eastAsia="zh-CN"/>
              </w:rPr>
              <w:t>长</w:t>
            </w:r>
            <w:r>
              <w:rPr>
                <w:rFonts w:hint="eastAsia"/>
                <w:sz w:val="21"/>
              </w:rPr>
              <w:t>、现场裁判、技术支持及工作人员就位。</w:t>
            </w:r>
          </w:p>
        </w:tc>
        <w:tc>
          <w:tcPr>
            <w:tcW w:w="1109" w:type="dxa"/>
            <w:vMerge w:val="restart"/>
            <w:vAlign w:val="center"/>
          </w:tcPr>
          <w:p>
            <w:pPr>
              <w:pStyle w:val="12"/>
              <w:spacing w:before="126"/>
              <w:ind w:left="276" w:right="262"/>
              <w:jc w:val="center"/>
              <w:rPr>
                <w:rFonts w:hint="default"/>
                <w:spacing w:val="-14"/>
                <w:sz w:val="21"/>
                <w:lang w:val="en-US" w:eastAsia="zh-CN"/>
              </w:rPr>
            </w:pPr>
            <w:r>
              <w:rPr>
                <w:rFonts w:hint="eastAsia"/>
                <w:spacing w:val="-14"/>
                <w:sz w:val="21"/>
                <w:lang w:val="en-US" w:eastAsia="zh-CN"/>
              </w:rPr>
              <w:t>检录入场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vAlign w:val="center"/>
          </w:tcPr>
          <w:p>
            <w:pPr>
              <w:pStyle w:val="12"/>
              <w:jc w:val="center"/>
              <w:rPr>
                <w:rFonts w:hint="eastAsia"/>
                <w:sz w:val="21"/>
                <w:lang w:val="en-US" w:eastAsia="zh-CN"/>
              </w:rPr>
            </w:pPr>
          </w:p>
        </w:tc>
        <w:tc>
          <w:tcPr>
            <w:tcW w:w="1575" w:type="dxa"/>
            <w:vAlign w:val="center"/>
          </w:tcPr>
          <w:p>
            <w:pPr>
              <w:pStyle w:val="12"/>
              <w:spacing w:before="133"/>
              <w:ind w:right="190"/>
              <w:jc w:val="center"/>
              <w:rPr>
                <w:rFonts w:hint="default" w:ascii="Times New Roman"/>
                <w:sz w:val="21"/>
                <w:lang w:val="en-US" w:eastAsia="zh-CN"/>
              </w:rPr>
            </w:pPr>
            <w:r>
              <w:rPr>
                <w:rFonts w:hint="eastAsia" w:ascii="Times New Roman"/>
                <w:sz w:val="21"/>
              </w:rPr>
              <w:t>0</w:t>
            </w:r>
            <w:r>
              <w:rPr>
                <w:rFonts w:hint="eastAsia" w:ascii="Times New Roman"/>
                <w:sz w:val="21"/>
                <w:lang w:val="en-US" w:eastAsia="zh-CN"/>
              </w:rPr>
              <w:t>8</w:t>
            </w:r>
            <w:r>
              <w:rPr>
                <w:rFonts w:hint="eastAsia" w:ascii="Times New Roman"/>
                <w:sz w:val="21"/>
              </w:rPr>
              <w:t>:30</w:t>
            </w:r>
            <w:r>
              <w:rPr>
                <w:rFonts w:hint="eastAsia" w:ascii="Times New Roman"/>
                <w:sz w:val="21"/>
                <w:lang w:val="en-US" w:eastAsia="zh-CN"/>
              </w:rPr>
              <w:t>-8</w:t>
            </w:r>
            <w:r>
              <w:rPr>
                <w:rFonts w:hint="eastAsia" w:ascii="Times New Roman"/>
                <w:sz w:val="21"/>
              </w:rPr>
              <w:t>:</w:t>
            </w:r>
            <w:r>
              <w:rPr>
                <w:rFonts w:hint="eastAsia" w:ascii="Times New Roman"/>
                <w:sz w:val="21"/>
                <w:lang w:val="en-US" w:eastAsia="zh-CN"/>
              </w:rPr>
              <w:t>45</w:t>
            </w:r>
          </w:p>
        </w:tc>
        <w:tc>
          <w:tcPr>
            <w:tcW w:w="4471" w:type="dxa"/>
            <w:vAlign w:val="center"/>
          </w:tcPr>
          <w:p>
            <w:pPr>
              <w:pStyle w:val="12"/>
              <w:spacing w:before="94"/>
              <w:ind w:left="8" w:right="1"/>
              <w:jc w:val="center"/>
              <w:rPr>
                <w:sz w:val="21"/>
              </w:rPr>
            </w:pPr>
            <w:r>
              <w:rPr>
                <w:rFonts w:hint="eastAsia"/>
                <w:sz w:val="21"/>
              </w:rPr>
              <w:t>参赛队到场，并根据参赛号抽取一次加密号。</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vAlign w:val="center"/>
          </w:tcPr>
          <w:p>
            <w:pPr>
              <w:pStyle w:val="12"/>
              <w:jc w:val="center"/>
              <w:rPr>
                <w:rFonts w:hint="eastAsia"/>
                <w:sz w:val="21"/>
                <w:lang w:val="en-US" w:eastAsia="zh-CN"/>
              </w:rPr>
            </w:pPr>
          </w:p>
        </w:tc>
        <w:tc>
          <w:tcPr>
            <w:tcW w:w="1575" w:type="dxa"/>
            <w:vAlign w:val="center"/>
          </w:tcPr>
          <w:p>
            <w:pPr>
              <w:pStyle w:val="12"/>
              <w:spacing w:before="133"/>
              <w:ind w:right="190"/>
              <w:jc w:val="center"/>
              <w:rPr>
                <w:rFonts w:hint="default" w:ascii="Times New Roman"/>
                <w:sz w:val="21"/>
                <w:lang w:val="en-US" w:eastAsia="zh-CN"/>
              </w:rPr>
            </w:pPr>
            <w:r>
              <w:rPr>
                <w:rFonts w:hint="eastAsia" w:ascii="Times New Roman"/>
                <w:sz w:val="21"/>
              </w:rPr>
              <w:t>0</w:t>
            </w:r>
            <w:r>
              <w:rPr>
                <w:rFonts w:hint="eastAsia" w:ascii="Times New Roman"/>
                <w:sz w:val="21"/>
                <w:lang w:val="en-US" w:eastAsia="zh-CN"/>
              </w:rPr>
              <w:t>8</w:t>
            </w:r>
            <w:r>
              <w:rPr>
                <w:rFonts w:hint="eastAsia" w:ascii="Times New Roman"/>
                <w:sz w:val="21"/>
              </w:rPr>
              <w:t>:</w:t>
            </w:r>
            <w:r>
              <w:rPr>
                <w:rFonts w:hint="eastAsia" w:ascii="Times New Roman"/>
                <w:sz w:val="21"/>
                <w:lang w:val="en-US" w:eastAsia="zh-CN"/>
              </w:rPr>
              <w:t>45-</w:t>
            </w:r>
            <w:r>
              <w:rPr>
                <w:rFonts w:hint="eastAsia" w:ascii="Times New Roman"/>
                <w:sz w:val="21"/>
              </w:rPr>
              <w:t>0</w:t>
            </w:r>
            <w:r>
              <w:rPr>
                <w:rFonts w:hint="eastAsia" w:ascii="Times New Roman"/>
                <w:sz w:val="21"/>
                <w:lang w:val="en-US" w:eastAsia="zh-CN"/>
              </w:rPr>
              <w:t>9</w:t>
            </w:r>
            <w:r>
              <w:rPr>
                <w:rFonts w:hint="eastAsia" w:ascii="Times New Roman"/>
                <w:sz w:val="21"/>
              </w:rPr>
              <w:t>:</w:t>
            </w:r>
            <w:r>
              <w:rPr>
                <w:rFonts w:hint="eastAsia" w:ascii="Times New Roman"/>
                <w:sz w:val="21"/>
                <w:lang w:val="en-US" w:eastAsia="zh-CN"/>
              </w:rPr>
              <w:t>00</w:t>
            </w:r>
          </w:p>
        </w:tc>
        <w:tc>
          <w:tcPr>
            <w:tcW w:w="4471" w:type="dxa"/>
            <w:vAlign w:val="center"/>
          </w:tcPr>
          <w:p>
            <w:pPr>
              <w:pStyle w:val="12"/>
              <w:spacing w:before="94"/>
              <w:ind w:left="8" w:right="1"/>
              <w:jc w:val="center"/>
              <w:rPr>
                <w:rFonts w:hint="eastAsia"/>
                <w:sz w:val="21"/>
              </w:rPr>
            </w:pPr>
            <w:r>
              <w:rPr>
                <w:rFonts w:hint="eastAsia"/>
                <w:sz w:val="21"/>
              </w:rPr>
              <w:t>参赛队安检，并根据一次加密号抽取二次加密号（赛位号)。</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vAlign w:val="center"/>
          </w:tcPr>
          <w:p>
            <w:pPr>
              <w:pStyle w:val="12"/>
              <w:jc w:val="center"/>
              <w:rPr>
                <w:rFonts w:hint="eastAsia"/>
                <w:sz w:val="21"/>
                <w:lang w:val="en-US" w:eastAsia="zh-CN"/>
              </w:rPr>
            </w:pPr>
          </w:p>
        </w:tc>
        <w:tc>
          <w:tcPr>
            <w:tcW w:w="1575" w:type="dxa"/>
            <w:vAlign w:val="center"/>
          </w:tcPr>
          <w:p>
            <w:pPr>
              <w:pStyle w:val="12"/>
              <w:spacing w:before="133"/>
              <w:ind w:right="190"/>
              <w:jc w:val="center"/>
              <w:rPr>
                <w:rFonts w:ascii="Times New Roman"/>
                <w:sz w:val="21"/>
                <w:lang w:val="zh-CN" w:eastAsia="zh-CN"/>
              </w:rPr>
            </w:pPr>
            <w:r>
              <w:rPr>
                <w:rFonts w:hint="eastAsia" w:ascii="Times New Roman"/>
                <w:sz w:val="21"/>
              </w:rPr>
              <w:t>0</w:t>
            </w:r>
            <w:r>
              <w:rPr>
                <w:rFonts w:hint="eastAsia" w:ascii="Times New Roman"/>
                <w:sz w:val="21"/>
                <w:lang w:val="en-US" w:eastAsia="zh-CN"/>
              </w:rPr>
              <w:t>9</w:t>
            </w:r>
            <w:r>
              <w:rPr>
                <w:rFonts w:hint="eastAsia" w:ascii="Times New Roman"/>
                <w:sz w:val="21"/>
              </w:rPr>
              <w:t>:</w:t>
            </w:r>
            <w:r>
              <w:rPr>
                <w:rFonts w:hint="eastAsia" w:ascii="Times New Roman"/>
                <w:sz w:val="21"/>
                <w:lang w:val="en-US" w:eastAsia="zh-CN"/>
              </w:rPr>
              <w:t>0</w:t>
            </w:r>
            <w:r>
              <w:rPr>
                <w:rFonts w:hint="eastAsia" w:ascii="Times New Roman"/>
                <w:sz w:val="21"/>
              </w:rPr>
              <w:t>0</w:t>
            </w:r>
            <w:r>
              <w:rPr>
                <w:rFonts w:hint="eastAsia" w:ascii="Times New Roman"/>
                <w:sz w:val="21"/>
                <w:lang w:val="en-US" w:eastAsia="zh-CN"/>
              </w:rPr>
              <w:t>-09</w:t>
            </w:r>
            <w:r>
              <w:rPr>
                <w:rFonts w:hint="eastAsia" w:ascii="Times New Roman"/>
                <w:sz w:val="21"/>
              </w:rPr>
              <w:t>:</w:t>
            </w:r>
            <w:r>
              <w:rPr>
                <w:rFonts w:hint="eastAsia" w:ascii="Times New Roman"/>
                <w:sz w:val="21"/>
                <w:lang w:val="en-US" w:eastAsia="zh-CN"/>
              </w:rPr>
              <w:t>3</w:t>
            </w:r>
            <w:r>
              <w:rPr>
                <w:rFonts w:hint="eastAsia" w:ascii="Times New Roman"/>
                <w:sz w:val="21"/>
              </w:rPr>
              <w:t>0</w:t>
            </w:r>
          </w:p>
        </w:tc>
        <w:tc>
          <w:tcPr>
            <w:tcW w:w="4471" w:type="dxa"/>
            <w:vAlign w:val="center"/>
          </w:tcPr>
          <w:p>
            <w:pPr>
              <w:pStyle w:val="12"/>
              <w:spacing w:before="94"/>
              <w:ind w:left="8" w:right="1"/>
              <w:jc w:val="center"/>
              <w:rPr>
                <w:rFonts w:hint="eastAsia"/>
                <w:sz w:val="21"/>
                <w:lang w:val="zh-CN" w:eastAsia="zh-CN"/>
              </w:rPr>
            </w:pPr>
            <w:r>
              <w:rPr>
                <w:rFonts w:hint="eastAsia"/>
                <w:sz w:val="21"/>
              </w:rPr>
              <w:t>选手入工位，检查设备的完好性并签字确认。</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vAlign w:val="center"/>
          </w:tcPr>
          <w:p>
            <w:pPr>
              <w:pStyle w:val="12"/>
              <w:jc w:val="center"/>
              <w:rPr>
                <w:rFonts w:hint="eastAsia"/>
                <w:sz w:val="21"/>
                <w:lang w:val="en-US" w:eastAsia="zh-CN"/>
              </w:rPr>
            </w:pPr>
          </w:p>
        </w:tc>
        <w:tc>
          <w:tcPr>
            <w:tcW w:w="1575" w:type="dxa"/>
            <w:vAlign w:val="center"/>
          </w:tcPr>
          <w:p>
            <w:pPr>
              <w:pStyle w:val="12"/>
              <w:spacing w:before="133"/>
              <w:ind w:right="190"/>
              <w:jc w:val="center"/>
              <w:rPr>
                <w:rFonts w:ascii="Times New Roman"/>
                <w:sz w:val="21"/>
                <w:lang w:val="zh-CN" w:eastAsia="zh-CN"/>
              </w:rPr>
            </w:pPr>
            <w:r>
              <w:rPr>
                <w:rFonts w:hint="eastAsia" w:ascii="Times New Roman"/>
                <w:sz w:val="21"/>
                <w:lang w:val="en-US" w:eastAsia="zh-CN"/>
              </w:rPr>
              <w:t>09</w:t>
            </w:r>
            <w:r>
              <w:rPr>
                <w:rFonts w:hint="eastAsia" w:ascii="Times New Roman"/>
                <w:sz w:val="21"/>
              </w:rPr>
              <w:t>:</w:t>
            </w:r>
            <w:r>
              <w:rPr>
                <w:rFonts w:hint="eastAsia" w:ascii="Times New Roman"/>
                <w:sz w:val="21"/>
                <w:lang w:val="en-US" w:eastAsia="zh-CN"/>
              </w:rPr>
              <w:t>3</w:t>
            </w:r>
            <w:r>
              <w:rPr>
                <w:rFonts w:hint="eastAsia" w:ascii="Times New Roman"/>
                <w:sz w:val="21"/>
              </w:rPr>
              <w:t>0</w:t>
            </w:r>
          </w:p>
        </w:tc>
        <w:tc>
          <w:tcPr>
            <w:tcW w:w="4471" w:type="dxa"/>
            <w:vAlign w:val="center"/>
          </w:tcPr>
          <w:p>
            <w:pPr>
              <w:pStyle w:val="12"/>
              <w:spacing w:before="94"/>
              <w:ind w:left="8" w:right="1"/>
              <w:jc w:val="center"/>
              <w:rPr>
                <w:rFonts w:hint="eastAsia"/>
                <w:sz w:val="21"/>
                <w:lang w:val="zh-CN" w:eastAsia="zh-CN"/>
              </w:rPr>
            </w:pPr>
            <w:r>
              <w:rPr>
                <w:rFonts w:hint="eastAsia"/>
                <w:sz w:val="21"/>
              </w:rPr>
              <w:t>比赛开始。</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jc w:val="center"/>
              <w:rPr>
                <w:sz w:val="2"/>
                <w:szCs w:val="2"/>
              </w:rPr>
            </w:pPr>
          </w:p>
        </w:tc>
        <w:tc>
          <w:tcPr>
            <w:tcW w:w="1575" w:type="dxa"/>
            <w:vAlign w:val="center"/>
          </w:tcPr>
          <w:p>
            <w:pPr>
              <w:pStyle w:val="12"/>
              <w:spacing w:before="133"/>
              <w:ind w:right="190"/>
              <w:jc w:val="center"/>
              <w:rPr>
                <w:rFonts w:ascii="Times New Roman"/>
                <w:sz w:val="21"/>
                <w:lang w:val="zh-CN" w:eastAsia="zh-CN"/>
              </w:rPr>
            </w:pPr>
            <w:r>
              <w:rPr>
                <w:rFonts w:hint="eastAsia" w:ascii="Times New Roman"/>
                <w:sz w:val="21"/>
              </w:rPr>
              <w:t>09:</w:t>
            </w:r>
            <w:r>
              <w:rPr>
                <w:rFonts w:hint="eastAsia" w:ascii="Times New Roman"/>
                <w:sz w:val="21"/>
                <w:lang w:val="en-US" w:eastAsia="zh-CN"/>
              </w:rPr>
              <w:t>3</w:t>
            </w:r>
            <w:r>
              <w:rPr>
                <w:rFonts w:hint="eastAsia" w:ascii="Times New Roman"/>
                <w:sz w:val="21"/>
              </w:rPr>
              <w:t>0～</w:t>
            </w:r>
            <w:r>
              <w:rPr>
                <w:rFonts w:hint="eastAsia" w:ascii="Times New Roman"/>
                <w:sz w:val="21"/>
                <w:lang w:val="en-US" w:eastAsia="zh-CN"/>
              </w:rPr>
              <w:t>10</w:t>
            </w:r>
            <w:r>
              <w:rPr>
                <w:rFonts w:hint="eastAsia" w:ascii="Times New Roman"/>
                <w:sz w:val="21"/>
              </w:rPr>
              <w:t>:</w:t>
            </w:r>
            <w:r>
              <w:rPr>
                <w:rFonts w:hint="eastAsia" w:ascii="Times New Roman"/>
                <w:sz w:val="21"/>
                <w:lang w:val="en-US" w:eastAsia="zh-CN"/>
              </w:rPr>
              <w:t>0</w:t>
            </w:r>
            <w:r>
              <w:rPr>
                <w:rFonts w:hint="eastAsia" w:ascii="Times New Roman"/>
                <w:sz w:val="21"/>
              </w:rPr>
              <w:t>0</w:t>
            </w:r>
          </w:p>
        </w:tc>
        <w:tc>
          <w:tcPr>
            <w:tcW w:w="4471" w:type="dxa"/>
            <w:vAlign w:val="center"/>
          </w:tcPr>
          <w:p>
            <w:pPr>
              <w:pStyle w:val="12"/>
              <w:spacing w:before="94"/>
              <w:ind w:left="8" w:right="1"/>
              <w:jc w:val="center"/>
              <w:rPr>
                <w:rFonts w:hint="eastAsia"/>
                <w:sz w:val="21"/>
              </w:rPr>
            </w:pPr>
            <w:r>
              <w:rPr>
                <w:rFonts w:hint="eastAsia"/>
                <w:sz w:val="21"/>
              </w:rPr>
              <w:t>参赛队确认</w:t>
            </w:r>
            <w:r>
              <w:rPr>
                <w:rFonts w:hint="eastAsia"/>
                <w:sz w:val="21"/>
                <w:lang w:val="en-US" w:eastAsia="zh-CN"/>
              </w:rPr>
              <w:t>竞赛</w:t>
            </w:r>
            <w:r>
              <w:rPr>
                <w:rFonts w:hint="eastAsia"/>
                <w:sz w:val="21"/>
              </w:rPr>
              <w:t>任务、核对检查竞赛套件、更换补领元器件。</w:t>
            </w:r>
          </w:p>
        </w:tc>
        <w:tc>
          <w:tcPr>
            <w:tcW w:w="1109" w:type="dxa"/>
            <w:vMerge w:val="restart"/>
            <w:vAlign w:val="center"/>
          </w:tcPr>
          <w:p>
            <w:pPr>
              <w:pStyle w:val="12"/>
              <w:spacing w:before="126"/>
              <w:ind w:left="276" w:right="262"/>
              <w:jc w:val="center"/>
              <w:rPr>
                <w:rFonts w:hint="eastAsia"/>
                <w:spacing w:val="-14"/>
                <w:sz w:val="21"/>
                <w:lang w:val="en-US" w:eastAsia="zh-CN"/>
              </w:rPr>
            </w:pPr>
            <w:r>
              <w:rPr>
                <w:rFonts w:hint="eastAsia"/>
                <w:spacing w:val="-14"/>
                <w:sz w:val="21"/>
                <w:lang w:val="en-US" w:eastAsia="zh-CN"/>
              </w:rPr>
              <w:t>竞赛任务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jc w:val="center"/>
              <w:rPr>
                <w:sz w:val="2"/>
                <w:szCs w:val="2"/>
              </w:rPr>
            </w:pPr>
          </w:p>
        </w:tc>
        <w:tc>
          <w:tcPr>
            <w:tcW w:w="1575" w:type="dxa"/>
            <w:vAlign w:val="center"/>
          </w:tcPr>
          <w:p>
            <w:pPr>
              <w:pStyle w:val="12"/>
              <w:spacing w:before="133"/>
              <w:ind w:right="190"/>
              <w:jc w:val="center"/>
              <w:rPr>
                <w:rFonts w:ascii="Times New Roman"/>
                <w:sz w:val="21"/>
                <w:lang w:val="zh-CN" w:eastAsia="zh-CN"/>
              </w:rPr>
            </w:pPr>
            <w:r>
              <w:rPr>
                <w:rFonts w:hint="eastAsia" w:ascii="Times New Roman"/>
                <w:sz w:val="21"/>
              </w:rPr>
              <w:t>11:30～12:00</w:t>
            </w:r>
          </w:p>
        </w:tc>
        <w:tc>
          <w:tcPr>
            <w:tcW w:w="4471" w:type="dxa"/>
            <w:vAlign w:val="center"/>
          </w:tcPr>
          <w:p>
            <w:pPr>
              <w:pStyle w:val="12"/>
              <w:spacing w:before="94"/>
              <w:ind w:left="8" w:right="1"/>
              <w:jc w:val="center"/>
              <w:rPr>
                <w:rFonts w:hint="eastAsia"/>
                <w:sz w:val="21"/>
              </w:rPr>
            </w:pPr>
            <w:r>
              <w:rPr>
                <w:rFonts w:hint="eastAsia"/>
                <w:sz w:val="21"/>
              </w:rPr>
              <w:t>饮食提供（赛场全体人员）。</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jc w:val="center"/>
              <w:rPr>
                <w:sz w:val="2"/>
                <w:szCs w:val="2"/>
              </w:rPr>
            </w:pPr>
          </w:p>
        </w:tc>
        <w:tc>
          <w:tcPr>
            <w:tcW w:w="1575" w:type="dxa"/>
            <w:vAlign w:val="center"/>
          </w:tcPr>
          <w:p>
            <w:pPr>
              <w:pStyle w:val="12"/>
              <w:spacing w:before="133"/>
              <w:ind w:right="190"/>
              <w:jc w:val="center"/>
              <w:rPr>
                <w:rFonts w:ascii="Times New Roman"/>
                <w:sz w:val="21"/>
                <w:lang w:val="zh-CN" w:eastAsia="zh-CN"/>
              </w:rPr>
            </w:pPr>
            <w:r>
              <w:rPr>
                <w:rFonts w:hint="eastAsia" w:ascii="Times New Roman"/>
                <w:sz w:val="21"/>
              </w:rPr>
              <w:t>1</w:t>
            </w:r>
            <w:r>
              <w:rPr>
                <w:rFonts w:hint="eastAsia" w:ascii="Times New Roman"/>
                <w:sz w:val="21"/>
                <w:lang w:val="en-US" w:eastAsia="zh-CN"/>
              </w:rPr>
              <w:t>4</w:t>
            </w:r>
            <w:r>
              <w:rPr>
                <w:rFonts w:hint="eastAsia" w:ascii="Times New Roman"/>
                <w:sz w:val="21"/>
              </w:rPr>
              <w:t>:</w:t>
            </w:r>
            <w:r>
              <w:rPr>
                <w:rFonts w:hint="eastAsia" w:ascii="Times New Roman"/>
                <w:sz w:val="21"/>
                <w:lang w:val="en-US" w:eastAsia="zh-CN"/>
              </w:rPr>
              <w:t>3</w:t>
            </w:r>
            <w:r>
              <w:rPr>
                <w:rFonts w:hint="eastAsia" w:ascii="Times New Roman"/>
                <w:sz w:val="21"/>
              </w:rPr>
              <w:t>0</w:t>
            </w:r>
          </w:p>
        </w:tc>
        <w:tc>
          <w:tcPr>
            <w:tcW w:w="4471" w:type="dxa"/>
            <w:vAlign w:val="center"/>
          </w:tcPr>
          <w:p>
            <w:pPr>
              <w:pStyle w:val="12"/>
              <w:spacing w:before="94"/>
              <w:ind w:left="8" w:right="1"/>
              <w:jc w:val="center"/>
              <w:rPr>
                <w:rFonts w:hint="eastAsia"/>
                <w:sz w:val="21"/>
              </w:rPr>
            </w:pPr>
            <w:r>
              <w:rPr>
                <w:rFonts w:hint="eastAsia"/>
                <w:sz w:val="21"/>
              </w:rPr>
              <w:t>全体参赛队比赛结束，提交各种文件。</w:t>
            </w:r>
          </w:p>
        </w:tc>
        <w:tc>
          <w:tcPr>
            <w:tcW w:w="1109" w:type="dxa"/>
            <w:vMerge w:val="continue"/>
            <w:vAlign w:val="center"/>
          </w:tcPr>
          <w:p>
            <w:pPr>
              <w:pStyle w:val="12"/>
              <w:spacing w:before="126"/>
              <w:ind w:left="276" w:right="262"/>
              <w:jc w:val="center"/>
              <w:rPr>
                <w:rFonts w:hint="eastAsia"/>
                <w:spacing w:val="-14"/>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jc w:val="center"/>
              <w:rPr>
                <w:sz w:val="2"/>
                <w:szCs w:val="2"/>
              </w:rPr>
            </w:pPr>
          </w:p>
        </w:tc>
        <w:tc>
          <w:tcPr>
            <w:tcW w:w="1575" w:type="dxa"/>
            <w:vAlign w:val="center"/>
          </w:tcPr>
          <w:p>
            <w:pPr>
              <w:pStyle w:val="12"/>
              <w:spacing w:before="133"/>
              <w:ind w:right="190"/>
              <w:jc w:val="center"/>
              <w:rPr>
                <w:rFonts w:hint="eastAsia" w:ascii="Times New Roman"/>
                <w:sz w:val="21"/>
                <w:lang w:val="zh-CN" w:eastAsia="zh-CN"/>
              </w:rPr>
            </w:pPr>
            <w:r>
              <w:rPr>
                <w:rFonts w:ascii="Times New Roman"/>
                <w:sz w:val="21"/>
              </w:rPr>
              <w:t>1</w:t>
            </w:r>
            <w:r>
              <w:rPr>
                <w:rFonts w:hint="eastAsia" w:ascii="Times New Roman"/>
                <w:sz w:val="21"/>
                <w:lang w:val="en-US" w:eastAsia="zh-CN"/>
              </w:rPr>
              <w:t>4</w:t>
            </w:r>
            <w:r>
              <w:rPr>
                <w:rFonts w:ascii="Times New Roman"/>
                <w:sz w:val="21"/>
              </w:rPr>
              <w:t>:30-1</w:t>
            </w:r>
            <w:r>
              <w:rPr>
                <w:rFonts w:hint="eastAsia" w:ascii="Times New Roman"/>
                <w:sz w:val="21"/>
                <w:lang w:val="en-US" w:eastAsia="zh-CN"/>
              </w:rPr>
              <w:t>5</w:t>
            </w:r>
            <w:r>
              <w:rPr>
                <w:rFonts w:ascii="Times New Roman"/>
                <w:sz w:val="21"/>
              </w:rPr>
              <w:t>:00</w:t>
            </w:r>
          </w:p>
        </w:tc>
        <w:tc>
          <w:tcPr>
            <w:tcW w:w="4471" w:type="dxa"/>
            <w:vAlign w:val="center"/>
          </w:tcPr>
          <w:p>
            <w:pPr>
              <w:pStyle w:val="12"/>
              <w:spacing w:before="94"/>
              <w:ind w:left="8" w:right="1"/>
              <w:jc w:val="center"/>
              <w:rPr>
                <w:rFonts w:hint="eastAsia"/>
                <w:sz w:val="21"/>
                <w:lang w:val="zh-CN" w:eastAsia="zh-CN"/>
              </w:rPr>
            </w:pPr>
            <w:r>
              <w:rPr>
                <w:rFonts w:hint="eastAsia"/>
                <w:sz w:val="21"/>
              </w:rPr>
              <w:t>参赛代表队离场</w:t>
            </w:r>
          </w:p>
        </w:tc>
        <w:tc>
          <w:tcPr>
            <w:tcW w:w="1109" w:type="dxa"/>
            <w:vMerge w:val="continue"/>
            <w:vAlign w:val="center"/>
          </w:tcPr>
          <w:p>
            <w:pPr>
              <w:pStyle w:val="12"/>
              <w:spacing w:before="126"/>
              <w:ind w:left="276" w:right="262"/>
              <w:jc w:val="center"/>
              <w:rPr>
                <w:rFonts w:hint="eastAsia"/>
                <w:spacing w:val="-14"/>
                <w:sz w:val="21"/>
                <w:lang w:val="zh-CN"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jc w:val="center"/>
              <w:rPr>
                <w:sz w:val="2"/>
                <w:szCs w:val="2"/>
              </w:rPr>
            </w:pPr>
          </w:p>
        </w:tc>
        <w:tc>
          <w:tcPr>
            <w:tcW w:w="1575" w:type="dxa"/>
            <w:vAlign w:val="center"/>
          </w:tcPr>
          <w:p>
            <w:pPr>
              <w:pStyle w:val="12"/>
              <w:spacing w:before="180"/>
              <w:ind w:right="243" w:rightChars="0"/>
              <w:jc w:val="center"/>
              <w:rPr>
                <w:rFonts w:ascii="Times New Roman" w:hAnsi="宋体" w:eastAsia="宋体" w:cs="宋体"/>
                <w:sz w:val="21"/>
                <w:szCs w:val="22"/>
                <w:lang w:val="zh-CN" w:eastAsia="zh-CN" w:bidi="zh-CN"/>
              </w:rPr>
            </w:pPr>
            <w:r>
              <w:rPr>
                <w:rFonts w:ascii="Times New Roman"/>
                <w:sz w:val="21"/>
              </w:rPr>
              <w:t>15:</w:t>
            </w:r>
            <w:r>
              <w:rPr>
                <w:rFonts w:hint="eastAsia" w:ascii="Times New Roman"/>
                <w:sz w:val="21"/>
                <w:lang w:val="en-US" w:eastAsia="zh-CN"/>
              </w:rPr>
              <w:t>0</w:t>
            </w:r>
            <w:r>
              <w:rPr>
                <w:rFonts w:ascii="Times New Roman"/>
                <w:sz w:val="21"/>
              </w:rPr>
              <w:t>0-1</w:t>
            </w:r>
            <w:r>
              <w:rPr>
                <w:rFonts w:hint="eastAsia" w:ascii="Times New Roman"/>
                <w:sz w:val="21"/>
                <w:lang w:val="en-US" w:eastAsia="zh-CN"/>
              </w:rPr>
              <w:t>7</w:t>
            </w:r>
            <w:r>
              <w:rPr>
                <w:rFonts w:ascii="Times New Roman"/>
                <w:sz w:val="21"/>
              </w:rPr>
              <w:t>:</w:t>
            </w:r>
            <w:r>
              <w:rPr>
                <w:rFonts w:hint="eastAsia" w:ascii="Times New Roman"/>
                <w:sz w:val="21"/>
                <w:lang w:val="en-US" w:eastAsia="zh-CN"/>
              </w:rPr>
              <w:t>0</w:t>
            </w:r>
            <w:r>
              <w:rPr>
                <w:rFonts w:ascii="Times New Roman"/>
                <w:sz w:val="21"/>
              </w:rPr>
              <w:t>0</w:t>
            </w:r>
          </w:p>
        </w:tc>
        <w:tc>
          <w:tcPr>
            <w:tcW w:w="4471" w:type="dxa"/>
            <w:vAlign w:val="center"/>
          </w:tcPr>
          <w:p>
            <w:pPr>
              <w:pStyle w:val="12"/>
              <w:spacing w:before="128"/>
              <w:ind w:left="10" w:leftChars="0" w:right="1" w:rightChars="0"/>
              <w:jc w:val="center"/>
              <w:rPr>
                <w:rFonts w:hint="eastAsia" w:ascii="宋体" w:hAnsi="宋体" w:eastAsia="宋体" w:cs="宋体"/>
                <w:sz w:val="21"/>
                <w:szCs w:val="22"/>
                <w:lang w:val="zh-CN" w:eastAsia="zh-CN" w:bidi="zh-CN"/>
              </w:rPr>
            </w:pPr>
            <w:r>
              <w:rPr>
                <w:rFonts w:hint="eastAsia"/>
                <w:sz w:val="21"/>
                <w:lang w:val="en-US" w:eastAsia="zh-CN"/>
              </w:rPr>
              <w:t>分项</w:t>
            </w:r>
            <w:r>
              <w:rPr>
                <w:sz w:val="21"/>
              </w:rPr>
              <w:t>评分、</w:t>
            </w:r>
            <w:r>
              <w:rPr>
                <w:rFonts w:hint="eastAsia"/>
                <w:sz w:val="21"/>
                <w:lang w:val="en-US" w:eastAsia="zh-CN"/>
              </w:rPr>
              <w:t>竞赛成绩汇总统计、</w:t>
            </w:r>
            <w:r>
              <w:rPr>
                <w:sz w:val="21"/>
              </w:rPr>
              <w:t>成绩复核</w:t>
            </w:r>
          </w:p>
        </w:tc>
        <w:tc>
          <w:tcPr>
            <w:tcW w:w="1109" w:type="dxa"/>
            <w:vAlign w:val="center"/>
          </w:tcPr>
          <w:p>
            <w:pPr>
              <w:pStyle w:val="12"/>
              <w:spacing w:before="126"/>
              <w:ind w:left="276" w:right="262"/>
              <w:jc w:val="center"/>
              <w:rPr>
                <w:rFonts w:hint="eastAsia"/>
                <w:spacing w:val="-14"/>
                <w:sz w:val="21"/>
                <w:lang w:val="zh-CN" w:eastAsia="zh-CN"/>
              </w:rPr>
            </w:pPr>
            <w:r>
              <w:rPr>
                <w:rFonts w:hint="eastAsia"/>
                <w:spacing w:val="-14"/>
                <w:sz w:val="21"/>
                <w:lang w:val="en-US" w:eastAsia="zh-CN"/>
              </w:rPr>
              <w:t>成绩评定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87" w:type="dxa"/>
            <w:vMerge w:val="continue"/>
            <w:tcBorders>
              <w:top w:val="nil"/>
            </w:tcBorders>
            <w:vAlign w:val="center"/>
          </w:tcPr>
          <w:p>
            <w:pPr>
              <w:jc w:val="center"/>
              <w:rPr>
                <w:sz w:val="2"/>
                <w:szCs w:val="2"/>
              </w:rPr>
            </w:pPr>
          </w:p>
        </w:tc>
        <w:tc>
          <w:tcPr>
            <w:tcW w:w="1575" w:type="dxa"/>
            <w:tcBorders>
              <w:bottom w:val="single" w:color="auto" w:sz="4" w:space="0"/>
            </w:tcBorders>
            <w:vAlign w:val="center"/>
          </w:tcPr>
          <w:p>
            <w:pPr>
              <w:pStyle w:val="12"/>
              <w:spacing w:before="142"/>
              <w:ind w:right="190" w:rightChars="0"/>
              <w:jc w:val="center"/>
              <w:rPr>
                <w:rFonts w:ascii="Times New Roman" w:hAnsi="宋体" w:eastAsia="宋体" w:cs="宋体"/>
                <w:sz w:val="21"/>
                <w:szCs w:val="22"/>
                <w:lang w:val="zh-CN" w:eastAsia="zh-CN" w:bidi="zh-CN"/>
              </w:rPr>
            </w:pPr>
            <w:r>
              <w:rPr>
                <w:rFonts w:ascii="Times New Roman"/>
                <w:sz w:val="21"/>
              </w:rPr>
              <w:t>17:00-18:30</w:t>
            </w:r>
          </w:p>
        </w:tc>
        <w:tc>
          <w:tcPr>
            <w:tcW w:w="4471" w:type="dxa"/>
            <w:vAlign w:val="center"/>
          </w:tcPr>
          <w:p>
            <w:pPr>
              <w:pStyle w:val="12"/>
              <w:spacing w:before="130"/>
              <w:ind w:left="8" w:leftChars="0" w:right="1" w:rightChars="0"/>
              <w:jc w:val="center"/>
              <w:rPr>
                <w:rFonts w:ascii="宋体" w:hAnsi="宋体" w:eastAsia="宋体" w:cs="宋体"/>
                <w:sz w:val="21"/>
                <w:szCs w:val="22"/>
                <w:lang w:val="zh-CN" w:eastAsia="zh-CN" w:bidi="zh-CN"/>
              </w:rPr>
            </w:pPr>
            <w:r>
              <w:rPr>
                <w:sz w:val="21"/>
              </w:rPr>
              <w:t>成绩复核确认，录入上报</w:t>
            </w:r>
          </w:p>
        </w:tc>
        <w:tc>
          <w:tcPr>
            <w:tcW w:w="1109" w:type="dxa"/>
            <w:vAlign w:val="center"/>
          </w:tcPr>
          <w:p>
            <w:pPr>
              <w:pStyle w:val="12"/>
              <w:spacing w:before="128"/>
              <w:ind w:left="276" w:leftChars="0" w:right="262" w:rightChars="0"/>
              <w:jc w:val="center"/>
              <w:rPr>
                <w:rFonts w:hint="eastAsia" w:ascii="宋体" w:hAnsi="宋体" w:eastAsia="宋体" w:cs="宋体"/>
                <w:sz w:val="21"/>
                <w:szCs w:val="22"/>
                <w:lang w:val="zh-CN" w:eastAsia="zh-CN" w:bidi="zh-CN"/>
              </w:rPr>
            </w:pPr>
          </w:p>
        </w:tc>
      </w:tr>
    </w:tbl>
    <w:p>
      <w:pPr>
        <w:pStyle w:val="4"/>
        <w:spacing w:before="11"/>
        <w:ind w:left="0"/>
        <w:rPr>
          <w:b/>
          <w:sz w:val="16"/>
        </w:rPr>
      </w:pPr>
    </w:p>
    <w:p>
      <w:pPr>
        <w:rPr>
          <w:rFonts w:hint="eastAsia"/>
          <w:b/>
          <w:sz w:val="28"/>
          <w:lang w:eastAsia="zh-CN"/>
        </w:rPr>
      </w:pPr>
      <w:r>
        <w:rPr>
          <w:rFonts w:hint="eastAsia"/>
          <w:b/>
          <w:sz w:val="28"/>
          <w:lang w:eastAsia="zh-CN"/>
        </w:rPr>
        <w:br w:type="page"/>
      </w:r>
    </w:p>
    <w:p>
      <w:pPr>
        <w:pStyle w:val="4"/>
        <w:spacing w:before="201" w:line="374" w:lineRule="auto"/>
        <w:ind w:right="202" w:firstLine="559"/>
        <w:rPr>
          <w:rFonts w:hint="eastAsia"/>
          <w:b/>
          <w:sz w:val="28"/>
          <w:lang w:eastAsia="zh-CN"/>
        </w:rPr>
      </w:pPr>
      <w:r>
        <w:rPr>
          <w:rFonts w:hint="eastAsia"/>
          <w:b/>
          <w:sz w:val="28"/>
          <w:lang w:eastAsia="zh-CN"/>
        </w:rPr>
        <w:t>六、成绩评定</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本赛项的赛题由</w:t>
      </w:r>
      <w:r>
        <w:rPr>
          <w:rFonts w:hint="eastAsia"/>
          <w:spacing w:val="-8"/>
          <w:lang w:eastAsia="zh-CN"/>
        </w:rPr>
        <w:t>选拔赛</w:t>
      </w:r>
      <w:r>
        <w:rPr>
          <w:spacing w:val="-8"/>
        </w:rPr>
        <w:t>组</w:t>
      </w:r>
      <w:r>
        <w:rPr>
          <w:rFonts w:hint="eastAsia"/>
          <w:spacing w:val="-8"/>
          <w:lang w:val="en-US" w:eastAsia="zh-CN"/>
        </w:rPr>
        <w:t>委会</w:t>
      </w:r>
      <w:r>
        <w:rPr>
          <w:spacing w:val="-8"/>
        </w:rPr>
        <w:t>在赛前以任务书形式下发。</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（一）评分标准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390" w:firstLineChars="200"/>
        <w:jc w:val="center"/>
        <w:textAlignment w:val="auto"/>
        <w:rPr>
          <w:rFonts w:hint="default" w:ascii="Times New Roman" w:hAnsi="Times New Roman" w:cs="Times New Roman"/>
          <w:b/>
          <w:bCs/>
          <w:spacing w:val="-8"/>
          <w:sz w:val="21"/>
          <w:szCs w:val="21"/>
          <w:lang w:val="en-US" w:eastAsia="zh-CN"/>
        </w:rPr>
      </w:pPr>
      <w:r>
        <w:rPr>
          <w:rFonts w:hint="default" w:ascii="Times New Roman" w:hAnsi="Times New Roman" w:cs="Times New Roman"/>
          <w:b/>
          <w:bCs/>
          <w:spacing w:val="-8"/>
          <w:sz w:val="21"/>
          <w:szCs w:val="21"/>
          <w:lang w:eastAsia="zh-CN"/>
        </w:rPr>
        <w:t>表 2 “电子产品设计及制作”</w:t>
      </w:r>
      <w:r>
        <w:rPr>
          <w:rFonts w:hint="eastAsia" w:ascii="Times New Roman" w:hAnsi="Times New Roman" w:cs="Times New Roman"/>
          <w:b/>
          <w:bCs/>
          <w:spacing w:val="-8"/>
          <w:sz w:val="21"/>
          <w:szCs w:val="21"/>
          <w:lang w:val="en-US" w:eastAsia="zh-CN"/>
        </w:rPr>
        <w:t>选拔赛</w:t>
      </w:r>
      <w:r>
        <w:rPr>
          <w:rFonts w:hint="default" w:ascii="Times New Roman" w:hAnsi="Times New Roman" w:cs="Times New Roman"/>
          <w:b/>
          <w:bCs/>
          <w:spacing w:val="-8"/>
          <w:sz w:val="21"/>
          <w:szCs w:val="21"/>
          <w:lang w:eastAsia="zh-CN"/>
        </w:rPr>
        <w:t>评</w:t>
      </w:r>
      <w:r>
        <w:rPr>
          <w:rFonts w:hint="eastAsia" w:ascii="Times New Roman" w:hAnsi="Times New Roman" w:cs="Times New Roman"/>
          <w:b/>
          <w:bCs/>
          <w:spacing w:val="-8"/>
          <w:sz w:val="21"/>
          <w:szCs w:val="21"/>
          <w:lang w:val="en-US" w:eastAsia="zh-CN"/>
        </w:rPr>
        <w:t>分表</w:t>
      </w:r>
    </w:p>
    <w:p>
      <w:pPr>
        <w:pStyle w:val="4"/>
        <w:spacing w:before="10"/>
        <w:ind w:left="0"/>
        <w:rPr>
          <w:b/>
          <w:sz w:val="10"/>
        </w:rPr>
      </w:pPr>
    </w:p>
    <w:tbl>
      <w:tblPr>
        <w:tblStyle w:val="10"/>
        <w:tblW w:w="0" w:type="auto"/>
        <w:tblInd w:w="1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97"/>
        <w:gridCol w:w="3052"/>
        <w:gridCol w:w="1297"/>
        <w:gridCol w:w="21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8" w:hRule="atLeast"/>
        </w:trPr>
        <w:tc>
          <w:tcPr>
            <w:tcW w:w="1697" w:type="dxa"/>
            <w:vAlign w:val="center"/>
          </w:tcPr>
          <w:p>
            <w:pPr>
              <w:pStyle w:val="12"/>
              <w:spacing w:before="85"/>
              <w:ind w:left="426"/>
              <w:jc w:val="center"/>
              <w:rPr>
                <w:b/>
                <w:sz w:val="21"/>
              </w:rPr>
            </w:pPr>
            <w:r>
              <w:rPr>
                <w:b/>
                <w:sz w:val="21"/>
              </w:rPr>
              <w:t>评分项目</w:t>
            </w:r>
          </w:p>
        </w:tc>
        <w:tc>
          <w:tcPr>
            <w:tcW w:w="3052" w:type="dxa"/>
            <w:vAlign w:val="center"/>
          </w:tcPr>
          <w:p>
            <w:pPr>
              <w:pStyle w:val="12"/>
              <w:spacing w:before="85"/>
              <w:ind w:left="36" w:right="25"/>
              <w:jc w:val="center"/>
              <w:rPr>
                <w:b/>
                <w:sz w:val="21"/>
              </w:rPr>
            </w:pPr>
            <w:r>
              <w:rPr>
                <w:b/>
                <w:sz w:val="21"/>
              </w:rPr>
              <w:t>评分标准</w:t>
            </w:r>
          </w:p>
        </w:tc>
        <w:tc>
          <w:tcPr>
            <w:tcW w:w="1297" w:type="dxa"/>
            <w:vAlign w:val="center"/>
          </w:tcPr>
          <w:p>
            <w:pPr>
              <w:pStyle w:val="12"/>
              <w:spacing w:before="85"/>
              <w:ind w:left="415" w:right="409"/>
              <w:jc w:val="center"/>
              <w:rPr>
                <w:b/>
                <w:sz w:val="21"/>
              </w:rPr>
            </w:pPr>
            <w:r>
              <w:rPr>
                <w:b/>
                <w:sz w:val="21"/>
              </w:rPr>
              <w:t>分值</w:t>
            </w:r>
          </w:p>
        </w:tc>
        <w:tc>
          <w:tcPr>
            <w:tcW w:w="2157" w:type="dxa"/>
            <w:vAlign w:val="center"/>
          </w:tcPr>
          <w:p>
            <w:pPr>
              <w:pStyle w:val="12"/>
              <w:spacing w:before="85"/>
              <w:ind w:left="653"/>
              <w:jc w:val="center"/>
              <w:rPr>
                <w:b/>
                <w:sz w:val="21"/>
              </w:rPr>
            </w:pPr>
            <w:r>
              <w:rPr>
                <w:b/>
                <w:sz w:val="21"/>
              </w:rPr>
              <w:t>评分方式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1697" w:type="dxa"/>
            <w:vAlign w:val="center"/>
          </w:tcPr>
          <w:p>
            <w:pPr>
              <w:pStyle w:val="12"/>
              <w:spacing w:before="178"/>
              <w:ind w:left="94" w:right="83"/>
              <w:jc w:val="center"/>
              <w:rPr>
                <w:sz w:val="21"/>
              </w:rPr>
            </w:pPr>
            <w:r>
              <w:rPr>
                <w:sz w:val="21"/>
              </w:rPr>
              <w:t>安全操作规范</w:t>
            </w:r>
          </w:p>
          <w:p>
            <w:pPr>
              <w:pStyle w:val="12"/>
              <w:spacing w:before="5"/>
              <w:ind w:left="92" w:right="83"/>
              <w:jc w:val="center"/>
              <w:rPr>
                <w:sz w:val="21"/>
              </w:rPr>
            </w:pPr>
            <w:r>
              <w:rPr>
                <w:sz w:val="21"/>
              </w:rPr>
              <w:t>（</w:t>
            </w:r>
            <w:r>
              <w:rPr>
                <w:rFonts w:hint="eastAsia"/>
                <w:sz w:val="21"/>
                <w:lang w:val="en-US" w:eastAsia="zh-CN"/>
              </w:rPr>
              <w:t>5</w:t>
            </w:r>
            <w:r>
              <w:rPr>
                <w:rFonts w:ascii="Times New Roman" w:eastAsia="Times New Roman"/>
                <w:sz w:val="21"/>
              </w:rPr>
              <w:t>%</w:t>
            </w:r>
            <w:r>
              <w:rPr>
                <w:sz w:val="21"/>
              </w:rPr>
              <w:t>）</w:t>
            </w:r>
          </w:p>
        </w:tc>
        <w:tc>
          <w:tcPr>
            <w:tcW w:w="3052" w:type="dxa"/>
            <w:vAlign w:val="center"/>
          </w:tcPr>
          <w:p>
            <w:pPr>
              <w:pStyle w:val="12"/>
              <w:spacing w:before="1"/>
              <w:ind w:left="37" w:right="25"/>
              <w:jc w:val="center"/>
              <w:rPr>
                <w:sz w:val="21"/>
              </w:rPr>
            </w:pPr>
            <w:r>
              <w:rPr>
                <w:sz w:val="21"/>
              </w:rPr>
              <w:t>安全用电、环境清洁及操作规范</w:t>
            </w:r>
          </w:p>
        </w:tc>
        <w:tc>
          <w:tcPr>
            <w:tcW w:w="1297" w:type="dxa"/>
            <w:vAlign w:val="center"/>
          </w:tcPr>
          <w:p>
            <w:pPr>
              <w:pStyle w:val="12"/>
              <w:ind w:left="6"/>
              <w:jc w:val="center"/>
              <w:rPr>
                <w:rFonts w:hint="default" w:ascii="Times New Roman" w:eastAsia="宋体"/>
                <w:sz w:val="21"/>
                <w:lang w:val="en-US" w:eastAsia="zh-CN"/>
              </w:rPr>
            </w:pPr>
            <w:r>
              <w:rPr>
                <w:rFonts w:hint="eastAsia" w:ascii="Times New Roman"/>
                <w:sz w:val="21"/>
                <w:lang w:val="en-US" w:eastAsia="zh-CN"/>
              </w:rPr>
              <w:t>5</w:t>
            </w:r>
          </w:p>
        </w:tc>
        <w:tc>
          <w:tcPr>
            <w:tcW w:w="2157" w:type="dxa"/>
            <w:vAlign w:val="center"/>
          </w:tcPr>
          <w:p>
            <w:pPr>
              <w:pStyle w:val="12"/>
              <w:spacing w:before="1"/>
              <w:ind w:left="655"/>
              <w:jc w:val="both"/>
              <w:rPr>
                <w:sz w:val="21"/>
              </w:rPr>
            </w:pPr>
            <w:bookmarkStart w:id="16" w:name="_GoBack"/>
            <w:bookmarkEnd w:id="16"/>
            <w:r>
              <w:rPr>
                <w:sz w:val="21"/>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697" w:type="dxa"/>
            <w:vMerge w:val="restart"/>
            <w:vAlign w:val="center"/>
          </w:tcPr>
          <w:p>
            <w:pPr>
              <w:pStyle w:val="12"/>
              <w:jc w:val="center"/>
              <w:rPr>
                <w:b/>
                <w:sz w:val="20"/>
              </w:rPr>
            </w:pPr>
          </w:p>
          <w:p>
            <w:pPr>
              <w:pStyle w:val="12"/>
              <w:spacing w:before="133"/>
              <w:ind w:left="94" w:right="83"/>
              <w:jc w:val="center"/>
              <w:rPr>
                <w:sz w:val="21"/>
              </w:rPr>
            </w:pPr>
            <w:r>
              <w:rPr>
                <w:sz w:val="21"/>
              </w:rPr>
              <w:t>电子设计工艺</w:t>
            </w:r>
          </w:p>
          <w:p>
            <w:pPr>
              <w:pStyle w:val="12"/>
              <w:spacing w:before="5"/>
              <w:ind w:left="94" w:right="83"/>
              <w:jc w:val="center"/>
              <w:rPr>
                <w:sz w:val="21"/>
              </w:rPr>
            </w:pPr>
            <w:r>
              <w:rPr>
                <w:sz w:val="21"/>
              </w:rPr>
              <w:t>（</w:t>
            </w:r>
            <w:r>
              <w:rPr>
                <w:rFonts w:hint="eastAsia"/>
                <w:sz w:val="21"/>
                <w:lang w:val="en-US" w:eastAsia="zh-CN"/>
              </w:rPr>
              <w:t>20</w:t>
            </w:r>
            <w:r>
              <w:rPr>
                <w:rFonts w:ascii="Times New Roman" w:eastAsia="Times New Roman"/>
                <w:sz w:val="21"/>
              </w:rPr>
              <w:t>%</w:t>
            </w:r>
            <w:r>
              <w:rPr>
                <w:sz w:val="21"/>
              </w:rPr>
              <w:t>）</w:t>
            </w:r>
          </w:p>
        </w:tc>
        <w:tc>
          <w:tcPr>
            <w:tcW w:w="3052" w:type="dxa"/>
            <w:vAlign w:val="center"/>
          </w:tcPr>
          <w:p>
            <w:pPr>
              <w:pStyle w:val="12"/>
              <w:spacing w:before="54"/>
              <w:ind w:left="37" w:right="24"/>
              <w:jc w:val="center"/>
              <w:rPr>
                <w:sz w:val="21"/>
              </w:rPr>
            </w:pPr>
            <w:r>
              <w:rPr>
                <w:sz w:val="21"/>
              </w:rPr>
              <w:t>输出</w:t>
            </w:r>
            <w:r>
              <w:rPr>
                <w:rFonts w:ascii="Times New Roman" w:eastAsia="Times New Roman"/>
                <w:sz w:val="21"/>
              </w:rPr>
              <w:t xml:space="preserve">BOM </w:t>
            </w:r>
            <w:r>
              <w:rPr>
                <w:sz w:val="21"/>
              </w:rPr>
              <w:t>表</w:t>
            </w:r>
          </w:p>
        </w:tc>
        <w:tc>
          <w:tcPr>
            <w:tcW w:w="1297" w:type="dxa"/>
            <w:vAlign w:val="center"/>
          </w:tcPr>
          <w:p>
            <w:pPr>
              <w:pStyle w:val="12"/>
              <w:spacing w:before="63"/>
              <w:jc w:val="center"/>
              <w:rPr>
                <w:rFonts w:hint="eastAsia" w:ascii="Times New Roman" w:eastAsia="宋体"/>
                <w:sz w:val="21"/>
                <w:lang w:eastAsia="zh-CN"/>
              </w:rPr>
            </w:pPr>
            <w:r>
              <w:rPr>
                <w:rFonts w:hint="eastAsia" w:ascii="Times New Roman"/>
                <w:sz w:val="21"/>
                <w:lang w:val="en-US" w:eastAsia="zh-CN"/>
              </w:rPr>
              <w:t>3</w:t>
            </w:r>
          </w:p>
        </w:tc>
        <w:tc>
          <w:tcPr>
            <w:tcW w:w="2157" w:type="dxa"/>
            <w:vMerge w:val="restart"/>
            <w:vAlign w:val="center"/>
          </w:tcPr>
          <w:p>
            <w:pPr>
              <w:pStyle w:val="12"/>
              <w:jc w:val="center"/>
              <w:rPr>
                <w:b/>
                <w:sz w:val="20"/>
              </w:rPr>
            </w:pPr>
          </w:p>
          <w:p>
            <w:pPr>
              <w:pStyle w:val="12"/>
              <w:spacing w:before="150"/>
              <w:ind w:left="655"/>
              <w:jc w:val="both"/>
              <w:rPr>
                <w:sz w:val="21"/>
              </w:rPr>
            </w:pPr>
            <w:r>
              <w:rPr>
                <w:sz w:val="21"/>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697" w:type="dxa"/>
            <w:vMerge w:val="continue"/>
            <w:tcBorders>
              <w:top w:val="nil"/>
            </w:tcBorders>
            <w:vAlign w:val="center"/>
          </w:tcPr>
          <w:p>
            <w:pPr>
              <w:jc w:val="center"/>
              <w:rPr>
                <w:sz w:val="2"/>
                <w:szCs w:val="2"/>
              </w:rPr>
            </w:pPr>
          </w:p>
        </w:tc>
        <w:tc>
          <w:tcPr>
            <w:tcW w:w="3052" w:type="dxa"/>
            <w:vAlign w:val="center"/>
          </w:tcPr>
          <w:p>
            <w:pPr>
              <w:pStyle w:val="12"/>
              <w:spacing w:before="97"/>
              <w:ind w:left="33" w:right="25"/>
              <w:jc w:val="center"/>
              <w:rPr>
                <w:sz w:val="21"/>
              </w:rPr>
            </w:pPr>
            <w:r>
              <w:rPr>
                <w:sz w:val="21"/>
              </w:rPr>
              <w:t>设计指定元件的</w:t>
            </w:r>
            <w:r>
              <w:rPr>
                <w:rFonts w:ascii="Times New Roman" w:eastAsia="Times New Roman"/>
                <w:sz w:val="21"/>
              </w:rPr>
              <w:t xml:space="preserve">PCB </w:t>
            </w:r>
            <w:r>
              <w:rPr>
                <w:sz w:val="21"/>
              </w:rPr>
              <w:t>封装库</w:t>
            </w:r>
          </w:p>
        </w:tc>
        <w:tc>
          <w:tcPr>
            <w:tcW w:w="1297" w:type="dxa"/>
            <w:vAlign w:val="center"/>
          </w:tcPr>
          <w:p>
            <w:pPr>
              <w:pStyle w:val="12"/>
              <w:spacing w:before="103"/>
              <w:jc w:val="center"/>
              <w:rPr>
                <w:rFonts w:hint="eastAsia" w:ascii="Times New Roman" w:eastAsia="宋体"/>
                <w:sz w:val="21"/>
                <w:lang w:eastAsia="zh-CN"/>
              </w:rPr>
            </w:pPr>
            <w:r>
              <w:rPr>
                <w:rFonts w:hint="eastAsia" w:ascii="Times New Roman"/>
                <w:sz w:val="21"/>
                <w:lang w:val="en-US" w:eastAsia="zh-CN"/>
              </w:rPr>
              <w:t>5</w:t>
            </w:r>
          </w:p>
        </w:tc>
        <w:tc>
          <w:tcPr>
            <w:tcW w:w="2157" w:type="dxa"/>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2" w:hRule="atLeast"/>
        </w:trPr>
        <w:tc>
          <w:tcPr>
            <w:tcW w:w="1697" w:type="dxa"/>
            <w:vMerge w:val="continue"/>
            <w:tcBorders>
              <w:top w:val="nil"/>
            </w:tcBorders>
            <w:vAlign w:val="center"/>
          </w:tcPr>
          <w:p>
            <w:pPr>
              <w:jc w:val="center"/>
              <w:rPr>
                <w:sz w:val="2"/>
                <w:szCs w:val="2"/>
              </w:rPr>
            </w:pPr>
          </w:p>
        </w:tc>
        <w:tc>
          <w:tcPr>
            <w:tcW w:w="3052" w:type="dxa"/>
            <w:vAlign w:val="center"/>
          </w:tcPr>
          <w:p>
            <w:pPr>
              <w:pStyle w:val="12"/>
              <w:spacing w:before="97"/>
              <w:ind w:left="37" w:right="24"/>
              <w:jc w:val="center"/>
              <w:rPr>
                <w:sz w:val="21"/>
              </w:rPr>
            </w:pPr>
            <w:r>
              <w:rPr>
                <w:rFonts w:ascii="Times New Roman" w:eastAsia="Times New Roman"/>
                <w:sz w:val="21"/>
              </w:rPr>
              <w:t xml:space="preserve">PCB </w:t>
            </w:r>
            <w:r>
              <w:rPr>
                <w:sz w:val="21"/>
              </w:rPr>
              <w:t>设计（分档次整体评价）</w:t>
            </w:r>
          </w:p>
        </w:tc>
        <w:tc>
          <w:tcPr>
            <w:tcW w:w="1297" w:type="dxa"/>
            <w:vAlign w:val="center"/>
          </w:tcPr>
          <w:p>
            <w:pPr>
              <w:pStyle w:val="12"/>
              <w:spacing w:before="103"/>
              <w:jc w:val="center"/>
              <w:rPr>
                <w:rFonts w:ascii="Times New Roman"/>
                <w:sz w:val="21"/>
              </w:rPr>
            </w:pPr>
            <w:r>
              <w:rPr>
                <w:rFonts w:ascii="Times New Roman"/>
                <w:sz w:val="21"/>
              </w:rPr>
              <w:t>12</w:t>
            </w:r>
          </w:p>
        </w:tc>
        <w:tc>
          <w:tcPr>
            <w:tcW w:w="2157" w:type="dxa"/>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5" w:hRule="atLeast"/>
        </w:trPr>
        <w:tc>
          <w:tcPr>
            <w:tcW w:w="1697" w:type="dxa"/>
            <w:vMerge w:val="restart"/>
            <w:vAlign w:val="center"/>
          </w:tcPr>
          <w:p>
            <w:pPr>
              <w:pStyle w:val="12"/>
              <w:jc w:val="center"/>
              <w:rPr>
                <w:b/>
                <w:sz w:val="20"/>
              </w:rPr>
            </w:pPr>
          </w:p>
          <w:p>
            <w:pPr>
              <w:pStyle w:val="12"/>
              <w:spacing w:before="157"/>
              <w:ind w:left="94" w:right="83"/>
              <w:jc w:val="center"/>
              <w:rPr>
                <w:sz w:val="21"/>
              </w:rPr>
            </w:pPr>
            <w:r>
              <w:rPr>
                <w:sz w:val="21"/>
              </w:rPr>
              <w:t>电子装接工艺</w:t>
            </w:r>
          </w:p>
          <w:p>
            <w:pPr>
              <w:pStyle w:val="12"/>
              <w:spacing w:before="2"/>
              <w:ind w:left="94" w:right="83"/>
              <w:jc w:val="center"/>
              <w:rPr>
                <w:sz w:val="21"/>
              </w:rPr>
            </w:pPr>
            <w:r>
              <w:rPr>
                <w:sz w:val="21"/>
              </w:rPr>
              <w:t>（</w:t>
            </w:r>
            <w:r>
              <w:rPr>
                <w:rFonts w:ascii="Times New Roman" w:eastAsia="Times New Roman"/>
                <w:sz w:val="21"/>
              </w:rPr>
              <w:t>2</w:t>
            </w:r>
            <w:r>
              <w:rPr>
                <w:rFonts w:ascii="Times New Roman" w:eastAsiaTheme="minorEastAsia"/>
                <w:sz w:val="21"/>
              </w:rPr>
              <w:t>5</w:t>
            </w:r>
            <w:r>
              <w:rPr>
                <w:rFonts w:ascii="Times New Roman" w:eastAsia="Times New Roman"/>
                <w:sz w:val="21"/>
              </w:rPr>
              <w:t>%</w:t>
            </w:r>
            <w:r>
              <w:rPr>
                <w:sz w:val="21"/>
              </w:rPr>
              <w:t>）</w:t>
            </w:r>
          </w:p>
        </w:tc>
        <w:tc>
          <w:tcPr>
            <w:tcW w:w="3052" w:type="dxa"/>
            <w:vAlign w:val="center"/>
          </w:tcPr>
          <w:p>
            <w:pPr>
              <w:pStyle w:val="12"/>
              <w:spacing w:before="1" w:line="242" w:lineRule="auto"/>
              <w:ind w:left="107" w:right="92"/>
              <w:jc w:val="center"/>
              <w:rPr>
                <w:sz w:val="21"/>
              </w:rPr>
            </w:pPr>
            <w:r>
              <w:rPr>
                <w:spacing w:val="-12"/>
                <w:sz w:val="21"/>
              </w:rPr>
              <w:t>指定电路板装配元器件摆放、焊点质量、板面清洁、焊接完成度</w:t>
            </w:r>
          </w:p>
          <w:p>
            <w:pPr>
              <w:pStyle w:val="12"/>
              <w:spacing w:before="1" w:line="250" w:lineRule="exact"/>
              <w:ind w:left="107"/>
              <w:jc w:val="center"/>
              <w:rPr>
                <w:sz w:val="21"/>
              </w:rPr>
            </w:pPr>
            <w:r>
              <w:rPr>
                <w:sz w:val="21"/>
              </w:rPr>
              <w:t>等整体分档次评价。</w:t>
            </w:r>
          </w:p>
        </w:tc>
        <w:tc>
          <w:tcPr>
            <w:tcW w:w="1297" w:type="dxa"/>
            <w:vAlign w:val="center"/>
          </w:tcPr>
          <w:p>
            <w:pPr>
              <w:pStyle w:val="12"/>
              <w:jc w:val="center"/>
              <w:rPr>
                <w:rFonts w:hint="default" w:ascii="Times New Roman" w:eastAsia="宋体"/>
                <w:sz w:val="21"/>
                <w:highlight w:val="none"/>
                <w:lang w:val="en-US" w:eastAsia="zh-CN"/>
              </w:rPr>
            </w:pPr>
            <w:r>
              <w:rPr>
                <w:rFonts w:hint="eastAsia" w:ascii="Times New Roman"/>
                <w:sz w:val="21"/>
                <w:highlight w:val="none"/>
                <w:lang w:val="en-US" w:eastAsia="zh-CN"/>
              </w:rPr>
              <w:t>20</w:t>
            </w:r>
          </w:p>
        </w:tc>
        <w:tc>
          <w:tcPr>
            <w:tcW w:w="2157" w:type="dxa"/>
            <w:vMerge w:val="restart"/>
            <w:vAlign w:val="center"/>
          </w:tcPr>
          <w:p>
            <w:pPr>
              <w:pStyle w:val="12"/>
              <w:jc w:val="center"/>
              <w:rPr>
                <w:b/>
                <w:sz w:val="20"/>
              </w:rPr>
            </w:pPr>
          </w:p>
          <w:p>
            <w:pPr>
              <w:pStyle w:val="12"/>
              <w:spacing w:before="136"/>
              <w:ind w:left="655"/>
              <w:jc w:val="both"/>
              <w:rPr>
                <w:sz w:val="21"/>
              </w:rPr>
            </w:pPr>
            <w:r>
              <w:rPr>
                <w:sz w:val="21"/>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1697" w:type="dxa"/>
            <w:vMerge w:val="continue"/>
            <w:tcBorders>
              <w:top w:val="nil"/>
            </w:tcBorders>
            <w:vAlign w:val="center"/>
          </w:tcPr>
          <w:p>
            <w:pPr>
              <w:jc w:val="center"/>
              <w:rPr>
                <w:sz w:val="2"/>
                <w:szCs w:val="2"/>
              </w:rPr>
            </w:pPr>
          </w:p>
        </w:tc>
        <w:tc>
          <w:tcPr>
            <w:tcW w:w="3052" w:type="dxa"/>
            <w:vAlign w:val="center"/>
          </w:tcPr>
          <w:p>
            <w:pPr>
              <w:pStyle w:val="12"/>
              <w:spacing w:before="138"/>
              <w:ind w:left="37" w:right="24"/>
              <w:jc w:val="center"/>
              <w:rPr>
                <w:sz w:val="21"/>
              </w:rPr>
            </w:pPr>
            <w:r>
              <w:rPr>
                <w:sz w:val="21"/>
              </w:rPr>
              <w:t>系统装配</w:t>
            </w:r>
          </w:p>
        </w:tc>
        <w:tc>
          <w:tcPr>
            <w:tcW w:w="1297" w:type="dxa"/>
            <w:vAlign w:val="center"/>
          </w:tcPr>
          <w:p>
            <w:pPr>
              <w:pStyle w:val="12"/>
              <w:spacing w:before="144"/>
              <w:jc w:val="center"/>
              <w:rPr>
                <w:rFonts w:hint="default" w:ascii="Times New Roman" w:eastAsia="宋体"/>
                <w:sz w:val="21"/>
                <w:highlight w:val="none"/>
                <w:lang w:val="en-US" w:eastAsia="zh-CN"/>
              </w:rPr>
            </w:pPr>
            <w:r>
              <w:rPr>
                <w:rFonts w:hint="eastAsia" w:ascii="Times New Roman"/>
                <w:sz w:val="21"/>
                <w:highlight w:val="none"/>
                <w:lang w:val="en-US" w:eastAsia="zh-CN"/>
              </w:rPr>
              <w:t>5</w:t>
            </w:r>
          </w:p>
        </w:tc>
        <w:tc>
          <w:tcPr>
            <w:tcW w:w="2157" w:type="dxa"/>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 w:hRule="atLeast"/>
        </w:trPr>
        <w:tc>
          <w:tcPr>
            <w:tcW w:w="1697" w:type="dxa"/>
            <w:vMerge w:val="restart"/>
            <w:vAlign w:val="center"/>
          </w:tcPr>
          <w:p>
            <w:pPr>
              <w:pStyle w:val="12"/>
              <w:spacing w:before="5"/>
              <w:jc w:val="center"/>
              <w:rPr>
                <w:b/>
                <w:sz w:val="15"/>
              </w:rPr>
            </w:pPr>
          </w:p>
          <w:p>
            <w:pPr>
              <w:pStyle w:val="12"/>
              <w:ind w:left="94" w:right="83"/>
              <w:jc w:val="center"/>
              <w:rPr>
                <w:sz w:val="21"/>
              </w:rPr>
            </w:pPr>
            <w:r>
              <w:rPr>
                <w:sz w:val="21"/>
              </w:rPr>
              <w:t>任务与功能验证</w:t>
            </w:r>
          </w:p>
          <w:p>
            <w:pPr>
              <w:pStyle w:val="12"/>
              <w:spacing w:before="5"/>
              <w:ind w:left="94" w:right="83"/>
              <w:jc w:val="center"/>
              <w:rPr>
                <w:sz w:val="21"/>
              </w:rPr>
            </w:pPr>
            <w:r>
              <w:rPr>
                <w:sz w:val="21"/>
              </w:rPr>
              <w:t>（</w:t>
            </w:r>
            <w:r>
              <w:rPr>
                <w:rFonts w:ascii="Times New Roman" w:eastAsia="Times New Roman"/>
                <w:sz w:val="21"/>
              </w:rPr>
              <w:t>50%</w:t>
            </w:r>
            <w:r>
              <w:rPr>
                <w:sz w:val="21"/>
              </w:rPr>
              <w:t>）</w:t>
            </w:r>
          </w:p>
        </w:tc>
        <w:tc>
          <w:tcPr>
            <w:tcW w:w="3052" w:type="dxa"/>
            <w:vAlign w:val="center"/>
          </w:tcPr>
          <w:p>
            <w:pPr>
              <w:pStyle w:val="12"/>
              <w:spacing w:before="113"/>
              <w:ind w:left="37" w:right="24"/>
              <w:jc w:val="center"/>
              <w:rPr>
                <w:sz w:val="21"/>
              </w:rPr>
            </w:pPr>
            <w:r>
              <w:rPr>
                <w:sz w:val="21"/>
              </w:rPr>
              <w:t>基本要求</w:t>
            </w:r>
          </w:p>
        </w:tc>
        <w:tc>
          <w:tcPr>
            <w:tcW w:w="1297" w:type="dxa"/>
            <w:vAlign w:val="center"/>
          </w:tcPr>
          <w:p>
            <w:pPr>
              <w:pStyle w:val="12"/>
              <w:spacing w:before="123"/>
              <w:jc w:val="center"/>
              <w:rPr>
                <w:rFonts w:ascii="Times New Roman"/>
                <w:sz w:val="21"/>
              </w:rPr>
            </w:pPr>
            <w:r>
              <w:rPr>
                <w:rFonts w:ascii="Times New Roman"/>
                <w:sz w:val="21"/>
              </w:rPr>
              <w:t>20</w:t>
            </w:r>
          </w:p>
        </w:tc>
        <w:tc>
          <w:tcPr>
            <w:tcW w:w="2157" w:type="dxa"/>
            <w:vMerge w:val="restart"/>
            <w:vAlign w:val="center"/>
          </w:tcPr>
          <w:p>
            <w:pPr>
              <w:pStyle w:val="12"/>
              <w:spacing w:before="1"/>
              <w:jc w:val="center"/>
              <w:rPr>
                <w:b/>
                <w:sz w:val="26"/>
              </w:rPr>
            </w:pPr>
          </w:p>
          <w:p>
            <w:pPr>
              <w:pStyle w:val="12"/>
              <w:ind w:left="655"/>
              <w:jc w:val="both"/>
              <w:rPr>
                <w:sz w:val="21"/>
              </w:rPr>
            </w:pPr>
            <w:r>
              <w:rPr>
                <w:sz w:val="21"/>
              </w:rPr>
              <w:t>结果评分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atLeast"/>
        </w:trPr>
        <w:tc>
          <w:tcPr>
            <w:tcW w:w="1697" w:type="dxa"/>
            <w:vMerge w:val="continue"/>
            <w:tcBorders>
              <w:top w:val="nil"/>
            </w:tcBorders>
            <w:vAlign w:val="center"/>
          </w:tcPr>
          <w:p>
            <w:pPr>
              <w:jc w:val="center"/>
              <w:rPr>
                <w:sz w:val="2"/>
                <w:szCs w:val="2"/>
              </w:rPr>
            </w:pPr>
          </w:p>
        </w:tc>
        <w:tc>
          <w:tcPr>
            <w:tcW w:w="3052" w:type="dxa"/>
            <w:vAlign w:val="center"/>
          </w:tcPr>
          <w:p>
            <w:pPr>
              <w:pStyle w:val="12"/>
              <w:spacing w:before="82"/>
              <w:ind w:left="37" w:right="24"/>
              <w:jc w:val="center"/>
              <w:rPr>
                <w:sz w:val="21"/>
              </w:rPr>
            </w:pPr>
            <w:r>
              <w:rPr>
                <w:sz w:val="21"/>
              </w:rPr>
              <w:t>提高要求</w:t>
            </w:r>
          </w:p>
        </w:tc>
        <w:tc>
          <w:tcPr>
            <w:tcW w:w="1297" w:type="dxa"/>
            <w:vAlign w:val="center"/>
          </w:tcPr>
          <w:p>
            <w:pPr>
              <w:pStyle w:val="12"/>
              <w:spacing w:before="89"/>
              <w:jc w:val="center"/>
              <w:rPr>
                <w:rFonts w:ascii="Times New Roman"/>
                <w:sz w:val="21"/>
              </w:rPr>
            </w:pPr>
            <w:r>
              <w:rPr>
                <w:rFonts w:ascii="Times New Roman"/>
                <w:sz w:val="21"/>
              </w:rPr>
              <w:t>30</w:t>
            </w:r>
          </w:p>
        </w:tc>
        <w:tc>
          <w:tcPr>
            <w:tcW w:w="2157" w:type="dxa"/>
            <w:vMerge w:val="continue"/>
            <w:tcBorders>
              <w:top w:val="nil"/>
            </w:tcBorders>
            <w:vAlign w:val="center"/>
          </w:tcPr>
          <w:p>
            <w:pPr>
              <w:jc w:val="cente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52" w:hRule="atLeast"/>
        </w:trPr>
        <w:tc>
          <w:tcPr>
            <w:tcW w:w="1697" w:type="dxa"/>
            <w:vAlign w:val="center"/>
          </w:tcPr>
          <w:p>
            <w:pPr>
              <w:pStyle w:val="12"/>
              <w:jc w:val="center"/>
              <w:rPr>
                <w:b/>
                <w:sz w:val="20"/>
              </w:rPr>
            </w:pPr>
          </w:p>
          <w:p>
            <w:pPr>
              <w:pStyle w:val="12"/>
              <w:ind w:right="518"/>
              <w:jc w:val="center"/>
              <w:rPr>
                <w:sz w:val="21"/>
              </w:rPr>
            </w:pPr>
            <w:r>
              <w:rPr>
                <w:rFonts w:hint="eastAsia"/>
                <w:sz w:val="21"/>
                <w:lang w:val="en-US" w:eastAsia="zh-CN"/>
              </w:rPr>
              <w:t xml:space="preserve">    </w:t>
            </w:r>
            <w:r>
              <w:rPr>
                <w:sz w:val="21"/>
              </w:rPr>
              <w:t>扣分项</w:t>
            </w:r>
          </w:p>
        </w:tc>
        <w:tc>
          <w:tcPr>
            <w:tcW w:w="3052" w:type="dxa"/>
            <w:vAlign w:val="center"/>
          </w:tcPr>
          <w:p>
            <w:pPr>
              <w:pStyle w:val="12"/>
              <w:spacing w:before="1"/>
              <w:jc w:val="center"/>
              <w:rPr>
                <w:b/>
                <w:sz w:val="17"/>
              </w:rPr>
            </w:pPr>
          </w:p>
          <w:p>
            <w:pPr>
              <w:pStyle w:val="12"/>
              <w:spacing w:line="242" w:lineRule="auto"/>
              <w:ind w:left="107" w:right="92"/>
              <w:jc w:val="center"/>
              <w:rPr>
                <w:sz w:val="21"/>
              </w:rPr>
            </w:pPr>
            <w:r>
              <w:rPr>
                <w:spacing w:val="-13"/>
                <w:sz w:val="21"/>
              </w:rPr>
              <w:t>超过规定时间补领元器件、更换功能电路板、</w:t>
            </w:r>
            <w:r>
              <w:rPr>
                <w:rFonts w:hint="eastAsia"/>
                <w:spacing w:val="-13"/>
                <w:sz w:val="21"/>
                <w:lang w:eastAsia="zh-CN"/>
              </w:rPr>
              <w:t>选拔赛</w:t>
            </w:r>
            <w:r>
              <w:rPr>
                <w:spacing w:val="-13"/>
                <w:sz w:val="21"/>
              </w:rPr>
              <w:t>平台故障及其</w:t>
            </w:r>
            <w:r>
              <w:rPr>
                <w:spacing w:val="-2"/>
                <w:sz w:val="21"/>
              </w:rPr>
              <w:t>他违纪扣分项。</w:t>
            </w:r>
          </w:p>
        </w:tc>
        <w:tc>
          <w:tcPr>
            <w:tcW w:w="1297" w:type="dxa"/>
            <w:vAlign w:val="center"/>
          </w:tcPr>
          <w:p>
            <w:pPr>
              <w:pStyle w:val="12"/>
              <w:jc w:val="center"/>
              <w:rPr>
                <w:rFonts w:ascii="Times New Roman"/>
                <w:sz w:val="24"/>
              </w:rPr>
            </w:pPr>
          </w:p>
        </w:tc>
        <w:tc>
          <w:tcPr>
            <w:tcW w:w="2157" w:type="dxa"/>
            <w:vAlign w:val="center"/>
          </w:tcPr>
          <w:p>
            <w:pPr>
              <w:pStyle w:val="12"/>
              <w:jc w:val="center"/>
              <w:rPr>
                <w:b/>
                <w:sz w:val="20"/>
              </w:rPr>
            </w:pPr>
          </w:p>
          <w:p>
            <w:pPr>
              <w:pStyle w:val="12"/>
              <w:spacing w:before="3"/>
              <w:jc w:val="center"/>
              <w:rPr>
                <w:b/>
                <w:sz w:val="18"/>
              </w:rPr>
            </w:pPr>
          </w:p>
          <w:p>
            <w:pPr>
              <w:pStyle w:val="12"/>
              <w:ind w:left="655"/>
              <w:jc w:val="both"/>
              <w:rPr>
                <w:sz w:val="21"/>
              </w:rPr>
            </w:pPr>
            <w:r>
              <w:rPr>
                <w:sz w:val="21"/>
              </w:rPr>
              <w:t>过程评分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697" w:type="dxa"/>
            <w:vAlign w:val="center"/>
          </w:tcPr>
          <w:p>
            <w:pPr>
              <w:pStyle w:val="12"/>
              <w:tabs>
                <w:tab w:val="left" w:pos="422"/>
              </w:tabs>
              <w:spacing w:before="99"/>
              <w:ind w:right="518"/>
              <w:jc w:val="center"/>
              <w:rPr>
                <w:sz w:val="21"/>
              </w:rPr>
            </w:pPr>
            <w:r>
              <w:rPr>
                <w:sz w:val="21"/>
              </w:rPr>
              <w:t>总</w:t>
            </w:r>
            <w:r>
              <w:rPr>
                <w:sz w:val="21"/>
              </w:rPr>
              <w:tab/>
            </w:r>
            <w:r>
              <w:rPr>
                <w:sz w:val="21"/>
              </w:rPr>
              <w:t>计</w:t>
            </w:r>
          </w:p>
        </w:tc>
        <w:tc>
          <w:tcPr>
            <w:tcW w:w="4349" w:type="dxa"/>
            <w:gridSpan w:val="2"/>
            <w:vAlign w:val="center"/>
          </w:tcPr>
          <w:p>
            <w:pPr>
              <w:pStyle w:val="12"/>
              <w:spacing w:before="106"/>
              <w:ind w:left="1997" w:right="1987"/>
              <w:jc w:val="center"/>
              <w:rPr>
                <w:rFonts w:ascii="Times New Roman"/>
                <w:sz w:val="21"/>
              </w:rPr>
            </w:pPr>
            <w:r>
              <w:rPr>
                <w:rFonts w:ascii="Times New Roman"/>
                <w:sz w:val="21"/>
              </w:rPr>
              <w:t>100</w:t>
            </w:r>
          </w:p>
        </w:tc>
        <w:tc>
          <w:tcPr>
            <w:tcW w:w="2157" w:type="dxa"/>
            <w:vAlign w:val="center"/>
          </w:tcPr>
          <w:p>
            <w:pPr>
              <w:pStyle w:val="12"/>
              <w:jc w:val="center"/>
              <w:rPr>
                <w:rFonts w:ascii="Times New Roman"/>
                <w:sz w:val="24"/>
              </w:rPr>
            </w:pPr>
          </w:p>
        </w:tc>
      </w:tr>
    </w:tbl>
    <w:p>
      <w:pPr>
        <w:pStyle w:val="4"/>
        <w:spacing w:before="2"/>
        <w:ind w:left="0"/>
        <w:rPr>
          <w:b/>
          <w:sz w:val="9"/>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（二）评分方法及相关说明</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default" w:ascii="Times New Roman" w:hAnsi="Times New Roman" w:cs="Times New Roman"/>
          <w:spacing w:val="-8"/>
          <w:lang w:val="en-US" w:eastAsia="zh-CN"/>
        </w:rPr>
        <w:t xml:space="preserve">1. </w:t>
      </w:r>
      <w:r>
        <w:rPr>
          <w:rFonts w:hint="default" w:ascii="Times New Roman" w:hAnsi="Times New Roman" w:cs="Times New Roman"/>
          <w:spacing w:val="-8"/>
          <w:lang w:eastAsia="zh-CN"/>
        </w:rPr>
        <w:t>选拔赛</w:t>
      </w:r>
      <w:r>
        <w:rPr>
          <w:rFonts w:hint="default" w:ascii="Times New Roman" w:hAnsi="Times New Roman" w:cs="Times New Roman"/>
          <w:spacing w:val="-8"/>
        </w:rPr>
        <w:t>评分严格按照公平、公正、科学、规范的原则。</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default" w:ascii="Times New Roman" w:hAnsi="Times New Roman" w:cs="Times New Roman"/>
          <w:spacing w:val="-8"/>
          <w:lang w:val="en-US" w:eastAsia="zh-CN"/>
        </w:rPr>
        <w:t xml:space="preserve">2. </w:t>
      </w:r>
      <w:r>
        <w:rPr>
          <w:rFonts w:hint="default" w:ascii="Times New Roman" w:hAnsi="Times New Roman" w:cs="Times New Roman"/>
          <w:spacing w:val="-8"/>
        </w:rPr>
        <w:t>参赛队成绩由赛项裁判组统一评定。采用分步得分、错误不传递、累计总分的计分方式。</w:t>
      </w:r>
      <w:r>
        <w:rPr>
          <w:rFonts w:hint="default" w:ascii="Times New Roman" w:hAnsi="Times New Roman" w:cs="Times New Roman"/>
          <w:spacing w:val="-8"/>
          <w:lang w:eastAsia="zh-CN"/>
        </w:rPr>
        <w:t>选拔赛</w:t>
      </w:r>
      <w:r>
        <w:rPr>
          <w:rFonts w:hint="default" w:ascii="Times New Roman" w:hAnsi="Times New Roman" w:cs="Times New Roman"/>
          <w:spacing w:val="-8"/>
        </w:rPr>
        <w:t>名次按照成绩总分从高到低排序，相同成绩的按比赛功能测试时间长短决定排名次序，用时少者排名在前。</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default" w:ascii="Times New Roman" w:hAnsi="Times New Roman" w:cs="Times New Roman"/>
          <w:spacing w:val="-8"/>
          <w:lang w:val="en-US" w:eastAsia="zh-CN"/>
        </w:rPr>
        <w:t xml:space="preserve">3. </w:t>
      </w:r>
      <w:r>
        <w:rPr>
          <w:rFonts w:hint="default" w:ascii="Times New Roman" w:hAnsi="Times New Roman" w:cs="Times New Roman"/>
          <w:spacing w:val="-8"/>
        </w:rPr>
        <w:t>赛项总成绩满分 100 分，只对参赛队团体评分，不计个人成绩。</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default" w:ascii="Times New Roman" w:hAnsi="Times New Roman" w:cs="Times New Roman"/>
          <w:spacing w:val="-8"/>
          <w:lang w:val="en-US" w:eastAsia="zh-CN"/>
        </w:rPr>
        <w:t xml:space="preserve">4. </w:t>
      </w:r>
      <w:r>
        <w:rPr>
          <w:rFonts w:hint="default" w:ascii="Times New Roman" w:hAnsi="Times New Roman" w:cs="Times New Roman"/>
          <w:spacing w:val="-8"/>
        </w:rPr>
        <w:t>任务与功能测试中，每支参赛队有两次机会，取两轮成绩中最高成绩为任务最终成绩。</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default" w:ascii="Times New Roman" w:hAnsi="Times New Roman" w:cs="Times New Roman"/>
          <w:spacing w:val="-8"/>
          <w:lang w:val="en-US" w:eastAsia="zh-CN"/>
        </w:rPr>
        <w:t xml:space="preserve">5. </w:t>
      </w:r>
      <w:r>
        <w:rPr>
          <w:rFonts w:hint="default" w:ascii="Times New Roman" w:hAnsi="Times New Roman" w:cs="Times New Roman"/>
          <w:spacing w:val="-8"/>
        </w:rPr>
        <w:t>在</w:t>
      </w:r>
      <w:r>
        <w:rPr>
          <w:rFonts w:hint="default" w:ascii="Times New Roman" w:hAnsi="Times New Roman" w:cs="Times New Roman"/>
          <w:spacing w:val="-8"/>
          <w:lang w:eastAsia="zh-CN"/>
        </w:rPr>
        <w:t>选拔赛</w:t>
      </w:r>
      <w:r>
        <w:rPr>
          <w:rFonts w:hint="default" w:ascii="Times New Roman" w:hAnsi="Times New Roman" w:cs="Times New Roman"/>
          <w:spacing w:val="-8"/>
        </w:rPr>
        <w:t>过程中，参赛选手如有作弊、不服从裁判管理等扰乱赛场秩序的行为，由裁判长视情节轻重给予警告、扣分。情节严重的取消</w:t>
      </w:r>
      <w:r>
        <w:rPr>
          <w:rFonts w:hint="default" w:ascii="Times New Roman" w:hAnsi="Times New Roman" w:cs="Times New Roman"/>
          <w:spacing w:val="-8"/>
          <w:lang w:eastAsia="zh-CN"/>
        </w:rPr>
        <w:t>选拔赛</w:t>
      </w:r>
      <w:r>
        <w:rPr>
          <w:rFonts w:hint="default" w:ascii="Times New Roman" w:hAnsi="Times New Roman" w:cs="Times New Roman"/>
          <w:spacing w:val="-8"/>
        </w:rPr>
        <w:t>资格，</w:t>
      </w:r>
      <w:r>
        <w:rPr>
          <w:rFonts w:hint="default" w:ascii="Times New Roman" w:hAnsi="Times New Roman" w:cs="Times New Roman"/>
          <w:spacing w:val="-8"/>
          <w:lang w:eastAsia="zh-CN"/>
        </w:rPr>
        <w:t>选拔赛</w:t>
      </w:r>
      <w:r>
        <w:rPr>
          <w:rFonts w:hint="default" w:ascii="Times New Roman" w:hAnsi="Times New Roman" w:cs="Times New Roman"/>
          <w:spacing w:val="-8"/>
        </w:rPr>
        <w:t>成绩记为零分。</w:t>
      </w:r>
    </w:p>
    <w:p>
      <w:pPr>
        <w:pStyle w:val="4"/>
        <w:spacing w:before="201" w:line="374" w:lineRule="auto"/>
        <w:ind w:right="202" w:firstLine="559"/>
        <w:rPr>
          <w:rFonts w:hint="eastAsia"/>
          <w:b/>
          <w:sz w:val="28"/>
          <w:lang w:eastAsia="zh-CN"/>
        </w:rPr>
      </w:pPr>
      <w:r>
        <w:rPr>
          <w:rFonts w:hint="eastAsia"/>
          <w:b/>
          <w:sz w:val="28"/>
          <w:lang w:eastAsia="zh-CN"/>
        </w:rPr>
        <w:t>七、奖项设定</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eastAsia" w:ascii="Times New Roman" w:hAnsi="Times New Roman" w:cs="Times New Roman"/>
          <w:spacing w:val="-8"/>
          <w:lang w:val="en-US" w:eastAsia="zh-CN"/>
        </w:rPr>
        <w:t>按照</w:t>
      </w:r>
      <w:r>
        <w:rPr>
          <w:rFonts w:hint="eastAsia" w:ascii="Times New Roman" w:hAnsi="Times New Roman" w:cs="Times New Roman"/>
          <w:spacing w:val="-8"/>
        </w:rPr>
        <w:t>皖教秘高〔202</w:t>
      </w:r>
      <w:r>
        <w:rPr>
          <w:rFonts w:hint="eastAsia" w:ascii="Times New Roman" w:hAnsi="Times New Roman" w:cs="Times New Roman"/>
          <w:spacing w:val="-8"/>
          <w:lang w:val="en-US" w:eastAsia="zh-CN"/>
        </w:rPr>
        <w:t>1</w:t>
      </w:r>
      <w:r>
        <w:rPr>
          <w:rFonts w:hint="eastAsia" w:ascii="Times New Roman" w:hAnsi="Times New Roman" w:cs="Times New Roman"/>
          <w:spacing w:val="-8"/>
        </w:rPr>
        <w:t>〕</w:t>
      </w:r>
      <w:r>
        <w:rPr>
          <w:rFonts w:hint="eastAsia" w:ascii="Times New Roman" w:hAnsi="Times New Roman" w:cs="Times New Roman"/>
          <w:spacing w:val="-8"/>
          <w:lang w:val="en-US" w:eastAsia="zh-CN"/>
        </w:rPr>
        <w:t>30</w:t>
      </w:r>
      <w:r>
        <w:rPr>
          <w:rFonts w:hint="eastAsia" w:ascii="Times New Roman" w:hAnsi="Times New Roman" w:cs="Times New Roman"/>
          <w:spacing w:val="-8"/>
        </w:rPr>
        <w:t>号文件</w:t>
      </w:r>
      <w:r>
        <w:rPr>
          <w:rFonts w:hint="eastAsia" w:ascii="Times New Roman" w:hAnsi="Times New Roman" w:cs="Times New Roman"/>
          <w:spacing w:val="-8"/>
          <w:lang w:val="en-US" w:eastAsia="zh-CN"/>
        </w:rPr>
        <w:t>中相关规定执行</w:t>
      </w:r>
      <w:r>
        <w:rPr>
          <w:rFonts w:hint="default" w:ascii="Times New Roman" w:hAnsi="Times New Roman" w:cs="Times New Roman"/>
          <w:spacing w:val="-8"/>
        </w:rPr>
        <w:t>。</w:t>
      </w:r>
    </w:p>
    <w:p>
      <w:pPr>
        <w:pStyle w:val="4"/>
        <w:spacing w:before="201" w:line="374" w:lineRule="auto"/>
        <w:ind w:right="202" w:firstLine="559"/>
        <w:rPr>
          <w:rFonts w:hint="eastAsia"/>
          <w:b/>
          <w:sz w:val="28"/>
          <w:lang w:eastAsia="zh-CN"/>
        </w:rPr>
      </w:pPr>
      <w:r>
        <w:rPr>
          <w:rFonts w:hint="eastAsia"/>
          <w:b/>
          <w:sz w:val="28"/>
          <w:lang w:eastAsia="zh-CN"/>
        </w:rPr>
        <w:t>八、选拔赛环境搭建</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（一）承办方提供平台</w:t>
      </w:r>
    </w:p>
    <w:p>
      <w:pPr>
        <w:pStyle w:val="4"/>
        <w:spacing w:before="4"/>
        <w:ind w:left="0"/>
        <w:rPr>
          <w:sz w:val="10"/>
        </w:rPr>
      </w:pPr>
    </w:p>
    <w:tbl>
      <w:tblPr>
        <w:tblStyle w:val="10"/>
        <w:tblW w:w="0" w:type="auto"/>
        <w:tblInd w:w="5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2387"/>
        <w:gridCol w:w="4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0" w:type="dxa"/>
            <w:vAlign w:val="top"/>
          </w:tcPr>
          <w:p>
            <w:pPr>
              <w:pStyle w:val="12"/>
              <w:spacing w:before="171"/>
              <w:ind w:left="191" w:right="187"/>
              <w:jc w:val="center"/>
              <w:rPr>
                <w:b/>
                <w:sz w:val="21"/>
              </w:rPr>
            </w:pPr>
            <w:r>
              <w:rPr>
                <w:b/>
                <w:sz w:val="21"/>
              </w:rPr>
              <w:t>序号</w:t>
            </w:r>
          </w:p>
        </w:tc>
        <w:tc>
          <w:tcPr>
            <w:tcW w:w="2387" w:type="dxa"/>
            <w:vAlign w:val="top"/>
          </w:tcPr>
          <w:p>
            <w:pPr>
              <w:pStyle w:val="12"/>
              <w:spacing w:before="171"/>
              <w:ind w:left="437" w:right="429"/>
              <w:jc w:val="center"/>
              <w:rPr>
                <w:b/>
                <w:sz w:val="21"/>
              </w:rPr>
            </w:pPr>
            <w:r>
              <w:rPr>
                <w:b/>
                <w:sz w:val="21"/>
              </w:rPr>
              <w:t>仪器设备</w:t>
            </w:r>
          </w:p>
        </w:tc>
        <w:tc>
          <w:tcPr>
            <w:tcW w:w="4291" w:type="dxa"/>
            <w:vAlign w:val="top"/>
          </w:tcPr>
          <w:p>
            <w:pPr>
              <w:pStyle w:val="12"/>
              <w:spacing w:before="171"/>
              <w:ind w:left="1283" w:right="1275"/>
              <w:jc w:val="center"/>
              <w:rPr>
                <w:b/>
                <w:sz w:val="21"/>
              </w:rPr>
            </w:pPr>
            <w:r>
              <w:rPr>
                <w:b/>
                <w:sz w:val="21"/>
              </w:rPr>
              <w:t>规格说明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0" w:type="dxa"/>
            <w:vAlign w:val="top"/>
          </w:tcPr>
          <w:p>
            <w:pPr>
              <w:pStyle w:val="12"/>
              <w:spacing w:before="151"/>
              <w:ind w:left="4"/>
              <w:jc w:val="center"/>
              <w:rPr>
                <w:rFonts w:ascii="Times New Roman"/>
                <w:sz w:val="21"/>
              </w:rPr>
            </w:pPr>
            <w:r>
              <w:rPr>
                <w:rFonts w:ascii="Times New Roman"/>
                <w:sz w:val="21"/>
              </w:rPr>
              <w:t>1</w:t>
            </w:r>
          </w:p>
        </w:tc>
        <w:tc>
          <w:tcPr>
            <w:tcW w:w="2387" w:type="dxa"/>
            <w:vAlign w:val="top"/>
          </w:tcPr>
          <w:p>
            <w:pPr>
              <w:pStyle w:val="12"/>
              <w:spacing w:before="142"/>
              <w:ind w:left="437" w:right="428"/>
              <w:jc w:val="center"/>
              <w:rPr>
                <w:sz w:val="21"/>
              </w:rPr>
            </w:pPr>
            <w:r>
              <w:rPr>
                <w:sz w:val="21"/>
              </w:rPr>
              <w:t>数字示波器</w:t>
            </w:r>
          </w:p>
        </w:tc>
        <w:tc>
          <w:tcPr>
            <w:tcW w:w="4291" w:type="dxa"/>
            <w:vAlign w:val="top"/>
          </w:tcPr>
          <w:p>
            <w:pPr>
              <w:pStyle w:val="12"/>
              <w:spacing w:before="142"/>
              <w:ind w:left="1282" w:right="1277"/>
              <w:jc w:val="center"/>
              <w:rPr>
                <w:sz w:val="21"/>
              </w:rPr>
            </w:pPr>
            <w:r>
              <w:rPr>
                <w:sz w:val="21"/>
              </w:rPr>
              <w:t>多品牌适用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0" w:type="dxa"/>
            <w:vAlign w:val="top"/>
          </w:tcPr>
          <w:p>
            <w:pPr>
              <w:pStyle w:val="12"/>
              <w:spacing w:before="151"/>
              <w:ind w:left="4"/>
              <w:jc w:val="center"/>
              <w:rPr>
                <w:rFonts w:ascii="Times New Roman"/>
                <w:sz w:val="21"/>
              </w:rPr>
            </w:pPr>
            <w:r>
              <w:rPr>
                <w:rFonts w:ascii="Times New Roman"/>
                <w:sz w:val="21"/>
              </w:rPr>
              <w:t>2</w:t>
            </w:r>
          </w:p>
        </w:tc>
        <w:tc>
          <w:tcPr>
            <w:tcW w:w="2387" w:type="dxa"/>
            <w:vAlign w:val="top"/>
          </w:tcPr>
          <w:p>
            <w:pPr>
              <w:pStyle w:val="12"/>
              <w:spacing w:before="142"/>
              <w:ind w:left="437" w:right="429"/>
              <w:jc w:val="center"/>
              <w:rPr>
                <w:sz w:val="21"/>
              </w:rPr>
            </w:pPr>
            <w:r>
              <w:rPr>
                <w:sz w:val="21"/>
              </w:rPr>
              <w:t>万用表</w:t>
            </w:r>
          </w:p>
        </w:tc>
        <w:tc>
          <w:tcPr>
            <w:tcW w:w="4291" w:type="dxa"/>
            <w:vAlign w:val="top"/>
          </w:tcPr>
          <w:p>
            <w:pPr>
              <w:pStyle w:val="12"/>
              <w:spacing w:before="142"/>
              <w:ind w:left="1282" w:right="1277"/>
              <w:jc w:val="center"/>
              <w:rPr>
                <w:sz w:val="21"/>
              </w:rPr>
            </w:pPr>
            <w:r>
              <w:rPr>
                <w:sz w:val="21"/>
              </w:rPr>
              <w:t>多品牌适用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0" w:type="dxa"/>
            <w:vAlign w:val="top"/>
          </w:tcPr>
          <w:p>
            <w:pPr>
              <w:pStyle w:val="12"/>
              <w:spacing w:before="161"/>
              <w:ind w:left="4"/>
              <w:jc w:val="center"/>
              <w:rPr>
                <w:rFonts w:ascii="Times New Roman"/>
                <w:sz w:val="21"/>
              </w:rPr>
            </w:pPr>
            <w:r>
              <w:rPr>
                <w:rFonts w:ascii="Times New Roman"/>
                <w:sz w:val="21"/>
              </w:rPr>
              <w:t>3</w:t>
            </w:r>
          </w:p>
        </w:tc>
        <w:tc>
          <w:tcPr>
            <w:tcW w:w="2387" w:type="dxa"/>
            <w:vAlign w:val="top"/>
          </w:tcPr>
          <w:p>
            <w:pPr>
              <w:pStyle w:val="12"/>
              <w:spacing w:before="152"/>
              <w:ind w:left="437" w:right="430"/>
              <w:jc w:val="center"/>
              <w:rPr>
                <w:sz w:val="21"/>
              </w:rPr>
            </w:pPr>
            <w:r>
              <w:rPr>
                <w:sz w:val="21"/>
              </w:rPr>
              <w:t>直流稳压电源</w:t>
            </w:r>
          </w:p>
        </w:tc>
        <w:tc>
          <w:tcPr>
            <w:tcW w:w="4291" w:type="dxa"/>
            <w:vAlign w:val="top"/>
          </w:tcPr>
          <w:p>
            <w:pPr>
              <w:pStyle w:val="12"/>
              <w:spacing w:before="152"/>
              <w:ind w:left="1282" w:right="1277"/>
              <w:jc w:val="center"/>
              <w:rPr>
                <w:sz w:val="21"/>
              </w:rPr>
            </w:pPr>
            <w:r>
              <w:rPr>
                <w:sz w:val="21"/>
              </w:rPr>
              <w:t>多品牌适用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0" w:type="dxa"/>
            <w:vAlign w:val="top"/>
          </w:tcPr>
          <w:p>
            <w:pPr>
              <w:pStyle w:val="12"/>
              <w:spacing w:before="102"/>
              <w:ind w:left="4"/>
              <w:jc w:val="center"/>
              <w:rPr>
                <w:rFonts w:ascii="Times New Roman"/>
                <w:sz w:val="21"/>
              </w:rPr>
            </w:pPr>
            <w:r>
              <w:rPr>
                <w:rFonts w:ascii="Times New Roman"/>
                <w:sz w:val="21"/>
              </w:rPr>
              <w:t>4</w:t>
            </w:r>
          </w:p>
        </w:tc>
        <w:tc>
          <w:tcPr>
            <w:tcW w:w="2387" w:type="dxa"/>
            <w:vAlign w:val="top"/>
          </w:tcPr>
          <w:p>
            <w:pPr>
              <w:pStyle w:val="12"/>
              <w:spacing w:before="93"/>
              <w:ind w:left="437" w:right="430"/>
              <w:jc w:val="center"/>
              <w:rPr>
                <w:sz w:val="21"/>
              </w:rPr>
            </w:pPr>
            <w:r>
              <w:rPr>
                <w:sz w:val="21"/>
              </w:rPr>
              <w:t>可移动存储设备</w:t>
            </w:r>
          </w:p>
        </w:tc>
        <w:tc>
          <w:tcPr>
            <w:tcW w:w="4291" w:type="dxa"/>
            <w:vAlign w:val="top"/>
          </w:tcPr>
          <w:p>
            <w:pPr>
              <w:pStyle w:val="12"/>
              <w:spacing w:before="93"/>
              <w:ind w:left="1282" w:right="1277"/>
              <w:jc w:val="center"/>
              <w:rPr>
                <w:sz w:val="21"/>
              </w:rPr>
            </w:pPr>
            <w:r>
              <w:rPr>
                <w:sz w:val="21"/>
              </w:rPr>
              <w:t>多品牌适用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0" w:type="dxa"/>
            <w:vAlign w:val="top"/>
          </w:tcPr>
          <w:p>
            <w:pPr>
              <w:pStyle w:val="12"/>
              <w:spacing w:before="135"/>
              <w:ind w:left="4"/>
              <w:jc w:val="center"/>
              <w:rPr>
                <w:rFonts w:ascii="Times New Roman"/>
                <w:sz w:val="21"/>
              </w:rPr>
            </w:pPr>
            <w:r>
              <w:rPr>
                <w:rFonts w:ascii="Times New Roman"/>
                <w:sz w:val="21"/>
              </w:rPr>
              <w:t>5</w:t>
            </w:r>
          </w:p>
        </w:tc>
        <w:tc>
          <w:tcPr>
            <w:tcW w:w="2387" w:type="dxa"/>
            <w:vAlign w:val="top"/>
          </w:tcPr>
          <w:p>
            <w:pPr>
              <w:pStyle w:val="12"/>
              <w:spacing w:before="128"/>
              <w:ind w:left="437" w:right="430"/>
              <w:jc w:val="center"/>
              <w:rPr>
                <w:sz w:val="21"/>
              </w:rPr>
            </w:pPr>
            <w:r>
              <w:rPr>
                <w:sz w:val="21"/>
              </w:rPr>
              <w:t>交流电源接线板</w:t>
            </w:r>
          </w:p>
        </w:tc>
        <w:tc>
          <w:tcPr>
            <w:tcW w:w="4291" w:type="dxa"/>
            <w:vAlign w:val="top"/>
          </w:tcPr>
          <w:p>
            <w:pPr>
              <w:pStyle w:val="12"/>
              <w:spacing w:before="128"/>
              <w:ind w:left="1283" w:right="1277"/>
              <w:jc w:val="center"/>
              <w:rPr>
                <w:sz w:val="21"/>
              </w:rPr>
            </w:pPr>
            <w:r>
              <w:rPr>
                <w:sz w:val="21"/>
              </w:rPr>
              <w:t>国标，多品牌适用</w:t>
            </w:r>
          </w:p>
        </w:tc>
      </w:tr>
    </w:tbl>
    <w:p>
      <w:pPr>
        <w:rPr>
          <w:spacing w:val="-8"/>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（二）</w:t>
      </w:r>
      <w:r>
        <w:rPr>
          <w:rFonts w:hint="eastAsia"/>
          <w:spacing w:val="-8"/>
          <w:lang w:eastAsia="zh-CN"/>
        </w:rPr>
        <w:t>选拔赛</w:t>
      </w:r>
      <w:r>
        <w:rPr>
          <w:spacing w:val="-8"/>
        </w:rPr>
        <w:t>自带电子产品设计及制作平台</w:t>
      </w:r>
    </w:p>
    <w:p>
      <w:pPr>
        <w:pStyle w:val="4"/>
        <w:spacing w:before="5"/>
        <w:ind w:left="0"/>
        <w:rPr>
          <w:sz w:val="10"/>
        </w:rPr>
      </w:pPr>
    </w:p>
    <w:tbl>
      <w:tblPr>
        <w:tblStyle w:val="10"/>
        <w:tblW w:w="0" w:type="auto"/>
        <w:tblInd w:w="5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5"/>
        <w:gridCol w:w="53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115" w:type="dxa"/>
          </w:tcPr>
          <w:p>
            <w:pPr>
              <w:pStyle w:val="12"/>
              <w:tabs>
                <w:tab w:val="left" w:pos="428"/>
              </w:tabs>
              <w:spacing w:before="142"/>
              <w:ind w:left="6"/>
              <w:jc w:val="center"/>
              <w:rPr>
                <w:b/>
                <w:sz w:val="21"/>
              </w:rPr>
            </w:pPr>
            <w:r>
              <w:rPr>
                <w:b/>
                <w:sz w:val="21"/>
              </w:rPr>
              <w:t>名</w:t>
            </w:r>
            <w:r>
              <w:rPr>
                <w:b/>
                <w:sz w:val="21"/>
              </w:rPr>
              <w:tab/>
            </w:r>
            <w:r>
              <w:rPr>
                <w:b/>
                <w:sz w:val="21"/>
              </w:rPr>
              <w:t>称</w:t>
            </w:r>
          </w:p>
        </w:tc>
        <w:tc>
          <w:tcPr>
            <w:tcW w:w="5370" w:type="dxa"/>
          </w:tcPr>
          <w:p>
            <w:pPr>
              <w:pStyle w:val="12"/>
              <w:spacing w:before="142"/>
              <w:ind w:left="2243" w:right="2232"/>
              <w:jc w:val="center"/>
              <w:rPr>
                <w:b/>
                <w:sz w:val="21"/>
              </w:rPr>
            </w:pPr>
            <w:r>
              <w:rPr>
                <w:b/>
                <w:sz w:val="21"/>
              </w:rPr>
              <w:t>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2115" w:type="dxa"/>
            <w:vAlign w:val="top"/>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5"/>
              <w:rPr>
                <w:sz w:val="29"/>
              </w:rPr>
            </w:pPr>
          </w:p>
          <w:p>
            <w:pPr>
              <w:pStyle w:val="12"/>
              <w:spacing w:line="242" w:lineRule="auto"/>
              <w:ind w:left="844" w:right="-15" w:hanging="840"/>
              <w:jc w:val="center"/>
              <w:rPr>
                <w:spacing w:val="-3"/>
                <w:sz w:val="21"/>
              </w:rPr>
            </w:pPr>
            <w:r>
              <w:rPr>
                <w:spacing w:val="-3"/>
                <w:sz w:val="21"/>
              </w:rPr>
              <w:t>电子产品创新</w:t>
            </w:r>
          </w:p>
          <w:p>
            <w:pPr>
              <w:pStyle w:val="12"/>
              <w:spacing w:line="242" w:lineRule="auto"/>
              <w:ind w:left="844" w:leftChars="0" w:right="-15" w:rightChars="0" w:hanging="840" w:firstLineChars="0"/>
              <w:jc w:val="center"/>
              <w:rPr>
                <w:rFonts w:ascii="宋体" w:hAnsi="宋体" w:eastAsia="宋体" w:cs="宋体"/>
                <w:sz w:val="21"/>
                <w:szCs w:val="22"/>
                <w:lang w:val="zh-CN" w:eastAsia="zh-CN" w:bidi="zh-CN"/>
              </w:rPr>
            </w:pPr>
            <w:r>
              <w:rPr>
                <w:spacing w:val="-3"/>
                <w:sz w:val="21"/>
              </w:rPr>
              <w:t>实验实训系统</w:t>
            </w:r>
          </w:p>
        </w:tc>
        <w:tc>
          <w:tcPr>
            <w:tcW w:w="5370" w:type="dxa"/>
            <w:vAlign w:val="top"/>
          </w:tcPr>
          <w:p>
            <w:pPr>
              <w:pStyle w:val="12"/>
              <w:spacing w:before="22"/>
              <w:ind w:left="107"/>
              <w:rPr>
                <w:sz w:val="21"/>
              </w:rPr>
            </w:pPr>
            <w:r>
              <w:rPr>
                <w:sz w:val="21"/>
              </w:rPr>
              <w:t>1</w:t>
            </w:r>
            <w:r>
              <w:rPr>
                <w:spacing w:val="-3"/>
                <w:sz w:val="21"/>
              </w:rPr>
              <w:t>、嵌入式核心板</w:t>
            </w:r>
          </w:p>
          <w:p>
            <w:pPr>
              <w:pStyle w:val="12"/>
              <w:spacing w:before="43"/>
              <w:ind w:left="107"/>
              <w:rPr>
                <w:sz w:val="21"/>
              </w:rPr>
            </w:pPr>
            <w:r>
              <w:rPr>
                <w:sz w:val="21"/>
              </w:rPr>
              <w:t>2</w:t>
            </w:r>
            <w:r>
              <w:rPr>
                <w:spacing w:val="-3"/>
                <w:sz w:val="21"/>
              </w:rPr>
              <w:t>、单片机核心板</w:t>
            </w:r>
          </w:p>
          <w:p>
            <w:pPr>
              <w:pStyle w:val="12"/>
              <w:spacing w:before="43"/>
              <w:ind w:left="107"/>
              <w:rPr>
                <w:sz w:val="21"/>
              </w:rPr>
            </w:pPr>
            <w:r>
              <w:rPr>
                <w:sz w:val="21"/>
              </w:rPr>
              <w:t xml:space="preserve">3、点阵模块 </w:t>
            </w:r>
          </w:p>
          <w:p>
            <w:pPr>
              <w:pStyle w:val="12"/>
              <w:spacing w:before="43"/>
              <w:ind w:left="107"/>
              <w:rPr>
                <w:sz w:val="21"/>
              </w:rPr>
            </w:pPr>
            <w:r>
              <w:rPr>
                <w:sz w:val="21"/>
              </w:rPr>
              <w:t>4、AD</w:t>
            </w:r>
            <w:r>
              <w:rPr>
                <w:spacing w:val="-11"/>
                <w:sz w:val="21"/>
              </w:rPr>
              <w:t xml:space="preserve"> 转换模块</w:t>
            </w:r>
          </w:p>
          <w:p>
            <w:pPr>
              <w:pStyle w:val="12"/>
              <w:spacing w:before="43"/>
              <w:ind w:left="107"/>
              <w:rPr>
                <w:sz w:val="21"/>
              </w:rPr>
            </w:pPr>
            <w:r>
              <w:rPr>
                <w:sz w:val="21"/>
              </w:rPr>
              <w:t>5、DA</w:t>
            </w:r>
            <w:r>
              <w:rPr>
                <w:spacing w:val="-11"/>
                <w:sz w:val="21"/>
              </w:rPr>
              <w:t xml:space="preserve"> 转换模块</w:t>
            </w:r>
          </w:p>
          <w:p>
            <w:pPr>
              <w:pStyle w:val="12"/>
              <w:spacing w:before="43"/>
              <w:ind w:left="107"/>
              <w:rPr>
                <w:sz w:val="21"/>
              </w:rPr>
            </w:pPr>
            <w:r>
              <w:rPr>
                <w:sz w:val="21"/>
              </w:rPr>
              <w:t>6、LCD 液晶显示模块</w:t>
            </w:r>
          </w:p>
          <w:p>
            <w:pPr>
              <w:pStyle w:val="12"/>
              <w:spacing w:before="43"/>
              <w:ind w:left="107"/>
              <w:rPr>
                <w:sz w:val="21"/>
              </w:rPr>
            </w:pPr>
            <w:r>
              <w:rPr>
                <w:sz w:val="21"/>
              </w:rPr>
              <w:t>7、超声波传感器模块</w:t>
            </w:r>
          </w:p>
          <w:p>
            <w:pPr>
              <w:pStyle w:val="12"/>
              <w:spacing w:before="43"/>
              <w:ind w:left="107"/>
              <w:rPr>
                <w:sz w:val="21"/>
              </w:rPr>
            </w:pPr>
            <w:r>
              <w:rPr>
                <w:sz w:val="21"/>
              </w:rPr>
              <w:t>8、电磁继电器模块</w:t>
            </w:r>
          </w:p>
          <w:p>
            <w:pPr>
              <w:pStyle w:val="12"/>
              <w:spacing w:before="43"/>
              <w:ind w:left="107"/>
              <w:rPr>
                <w:sz w:val="21"/>
              </w:rPr>
            </w:pPr>
            <w:r>
              <w:rPr>
                <w:sz w:val="21"/>
              </w:rPr>
              <w:t>9、电机控制模块</w:t>
            </w:r>
          </w:p>
          <w:p>
            <w:pPr>
              <w:pStyle w:val="12"/>
              <w:spacing w:before="43"/>
              <w:ind w:left="107"/>
              <w:rPr>
                <w:sz w:val="21"/>
              </w:rPr>
            </w:pPr>
            <w:r>
              <w:rPr>
                <w:sz w:val="21"/>
              </w:rPr>
              <w:t>10、交通灯模块</w:t>
            </w:r>
          </w:p>
          <w:p>
            <w:pPr>
              <w:pStyle w:val="12"/>
              <w:spacing w:before="43"/>
              <w:ind w:left="107"/>
              <w:rPr>
                <w:sz w:val="21"/>
              </w:rPr>
            </w:pPr>
            <w:r>
              <w:rPr>
                <w:sz w:val="21"/>
              </w:rPr>
              <w:t>11、矩阵键盘模块</w:t>
            </w:r>
          </w:p>
          <w:p>
            <w:pPr>
              <w:pStyle w:val="12"/>
              <w:spacing w:before="43"/>
              <w:ind w:left="107"/>
              <w:rPr>
                <w:sz w:val="21"/>
              </w:rPr>
            </w:pPr>
            <w:r>
              <w:rPr>
                <w:sz w:val="21"/>
              </w:rPr>
              <w:t>12、各类温度传感器模块</w:t>
            </w:r>
          </w:p>
          <w:p>
            <w:pPr>
              <w:pStyle w:val="12"/>
              <w:spacing w:before="43"/>
              <w:ind w:left="107"/>
              <w:rPr>
                <w:sz w:val="21"/>
              </w:rPr>
            </w:pPr>
            <w:r>
              <w:rPr>
                <w:sz w:val="21"/>
              </w:rPr>
              <w:t>13、数码管显示模块</w:t>
            </w:r>
          </w:p>
          <w:p>
            <w:pPr>
              <w:pStyle w:val="12"/>
              <w:spacing w:before="43"/>
              <w:ind w:left="107" w:leftChars="0"/>
              <w:rPr>
                <w:rFonts w:ascii="宋体" w:hAnsi="宋体" w:eastAsia="宋体" w:cs="宋体"/>
                <w:sz w:val="21"/>
                <w:szCs w:val="22"/>
                <w:lang w:val="zh-CN" w:eastAsia="zh-CN" w:bidi="zh-CN"/>
              </w:rPr>
            </w:pPr>
            <w:r>
              <w:rPr>
                <w:sz w:val="21"/>
              </w:rPr>
              <w:t>14、烟雾温度 LCD 显示模块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8" w:hRule="atLeast"/>
        </w:trPr>
        <w:tc>
          <w:tcPr>
            <w:tcW w:w="2115" w:type="dxa"/>
          </w:tcPr>
          <w:p>
            <w:pPr>
              <w:pStyle w:val="12"/>
              <w:rPr>
                <w:sz w:val="20"/>
              </w:rPr>
            </w:pPr>
          </w:p>
          <w:p>
            <w:pPr>
              <w:pStyle w:val="12"/>
              <w:rPr>
                <w:sz w:val="20"/>
              </w:rPr>
            </w:pPr>
          </w:p>
          <w:p>
            <w:pPr>
              <w:pStyle w:val="12"/>
              <w:spacing w:before="146"/>
              <w:ind w:left="6"/>
              <w:jc w:val="center"/>
              <w:rPr>
                <w:sz w:val="21"/>
              </w:rPr>
            </w:pPr>
          </w:p>
          <w:p>
            <w:pPr>
              <w:pStyle w:val="12"/>
              <w:spacing w:before="146"/>
              <w:ind w:left="6"/>
              <w:jc w:val="center"/>
              <w:rPr>
                <w:sz w:val="21"/>
              </w:rPr>
            </w:pPr>
          </w:p>
          <w:p>
            <w:pPr>
              <w:pStyle w:val="12"/>
              <w:spacing w:before="146"/>
              <w:ind w:left="6"/>
              <w:jc w:val="center"/>
              <w:rPr>
                <w:sz w:val="21"/>
              </w:rPr>
            </w:pPr>
          </w:p>
          <w:p>
            <w:pPr>
              <w:pStyle w:val="12"/>
              <w:spacing w:before="146"/>
              <w:ind w:left="6"/>
              <w:jc w:val="center"/>
              <w:rPr>
                <w:sz w:val="21"/>
              </w:rPr>
            </w:pPr>
          </w:p>
          <w:p>
            <w:pPr>
              <w:pStyle w:val="12"/>
              <w:spacing w:before="146"/>
              <w:ind w:left="6"/>
              <w:jc w:val="center"/>
              <w:rPr>
                <w:sz w:val="21"/>
              </w:rPr>
            </w:pPr>
          </w:p>
          <w:p>
            <w:pPr>
              <w:pStyle w:val="12"/>
              <w:spacing w:before="146"/>
              <w:ind w:left="6"/>
              <w:jc w:val="center"/>
              <w:rPr>
                <w:sz w:val="21"/>
              </w:rPr>
            </w:pPr>
          </w:p>
          <w:p>
            <w:pPr>
              <w:pStyle w:val="12"/>
              <w:spacing w:before="146"/>
              <w:ind w:left="6"/>
              <w:jc w:val="center"/>
              <w:rPr>
                <w:sz w:val="21"/>
              </w:rPr>
            </w:pPr>
          </w:p>
          <w:p>
            <w:pPr>
              <w:pStyle w:val="12"/>
              <w:spacing w:before="146"/>
              <w:jc w:val="center"/>
              <w:rPr>
                <w:sz w:val="21"/>
              </w:rPr>
            </w:pPr>
            <w:r>
              <w:rPr>
                <w:sz w:val="21"/>
              </w:rPr>
              <w:t>多自由度机器人</w:t>
            </w:r>
          </w:p>
        </w:tc>
        <w:tc>
          <w:tcPr>
            <w:tcW w:w="5370" w:type="dxa"/>
          </w:tcPr>
          <w:p>
            <w:pPr>
              <w:pStyle w:val="12"/>
              <w:spacing w:before="22" w:line="278" w:lineRule="auto"/>
              <w:ind w:left="107" w:right="48"/>
              <w:jc w:val="both"/>
              <w:rPr>
                <w:sz w:val="21"/>
              </w:rPr>
            </w:pPr>
            <w:r>
              <w:rPr>
                <w:sz w:val="21"/>
              </w:rPr>
              <w:t>1</w:t>
            </w:r>
            <w:r>
              <w:rPr>
                <w:spacing w:val="-3"/>
                <w:sz w:val="21"/>
              </w:rPr>
              <w:t>、本设备可通过姿态数据进行数学运算，计算出步进电</w:t>
            </w:r>
            <w:r>
              <w:rPr>
                <w:spacing w:val="-9"/>
                <w:sz w:val="21"/>
              </w:rPr>
              <w:t xml:space="preserve">机正反转步数。借助步进电机的上下运动，完成平台 </w:t>
            </w:r>
            <w:r>
              <w:rPr>
                <w:sz w:val="21"/>
              </w:rPr>
              <w:t xml:space="preserve">XYZ </w:t>
            </w:r>
            <w:r>
              <w:rPr>
                <w:spacing w:val="-12"/>
                <w:sz w:val="21"/>
              </w:rPr>
              <w:t>及俯仰角翻滚角的运动。摄像头可实时识别出钢球的运动</w:t>
            </w:r>
            <w:r>
              <w:rPr>
                <w:spacing w:val="-15"/>
                <w:sz w:val="21"/>
              </w:rPr>
              <w:t xml:space="preserve">位置，反馈给主控芯片进行控制。主控板具有 </w:t>
            </w:r>
            <w:r>
              <w:rPr>
                <w:sz w:val="21"/>
              </w:rPr>
              <w:t>6</w:t>
            </w:r>
            <w:r>
              <w:rPr>
                <w:spacing w:val="-11"/>
                <w:sz w:val="21"/>
              </w:rPr>
              <w:t xml:space="preserve"> 路开关量输入，3</w:t>
            </w:r>
            <w:r>
              <w:rPr>
                <w:spacing w:val="-7"/>
                <w:sz w:val="21"/>
              </w:rPr>
              <w:t xml:space="preserve"> 路电机控制输出，姿态传感器、超声波传感器、</w:t>
            </w:r>
            <w:r>
              <w:rPr>
                <w:spacing w:val="-14"/>
                <w:sz w:val="21"/>
              </w:rPr>
              <w:t xml:space="preserve">红外传感器等传感器输入接口。主控板具有 </w:t>
            </w:r>
            <w:r>
              <w:rPr>
                <w:sz w:val="21"/>
              </w:rPr>
              <w:t>RS232</w:t>
            </w:r>
            <w:r>
              <w:rPr>
                <w:spacing w:val="-13"/>
                <w:sz w:val="21"/>
              </w:rPr>
              <w:t xml:space="preserve"> 接口和CAN</w:t>
            </w:r>
            <w:r>
              <w:rPr>
                <w:spacing w:val="-11"/>
                <w:sz w:val="21"/>
              </w:rPr>
              <w:t xml:space="preserve"> 总线接口，可与云实训台进行通讯。主控板具有控制</w:t>
            </w:r>
            <w:r>
              <w:rPr>
                <w:spacing w:val="-6"/>
                <w:sz w:val="21"/>
              </w:rPr>
              <w:t>手柄输入，可通过手柄控制机器人动作。</w:t>
            </w:r>
          </w:p>
          <w:p>
            <w:pPr>
              <w:pStyle w:val="12"/>
              <w:spacing w:line="269" w:lineRule="exact"/>
              <w:ind w:left="107"/>
              <w:rPr>
                <w:sz w:val="21"/>
              </w:rPr>
            </w:pPr>
            <w:r>
              <w:rPr>
                <w:sz w:val="21"/>
              </w:rPr>
              <w:t>2、结构形式：并联式</w:t>
            </w:r>
          </w:p>
          <w:p>
            <w:pPr>
              <w:pStyle w:val="12"/>
              <w:spacing w:before="43"/>
              <w:ind w:left="107"/>
              <w:rPr>
                <w:sz w:val="21"/>
              </w:rPr>
            </w:pPr>
            <w:r>
              <w:rPr>
                <w:sz w:val="21"/>
              </w:rPr>
              <w:t>3、驱动方式：两相步进电机</w:t>
            </w:r>
          </w:p>
          <w:p>
            <w:pPr>
              <w:pStyle w:val="12"/>
              <w:spacing w:before="22"/>
              <w:ind w:left="107"/>
              <w:rPr>
                <w:sz w:val="21"/>
              </w:rPr>
            </w:pPr>
            <w:r>
              <w:rPr>
                <w:sz w:val="21"/>
              </w:rPr>
              <w:t>4、运动自由度：3 自由度</w:t>
            </w:r>
          </w:p>
          <w:p>
            <w:pPr>
              <w:pStyle w:val="12"/>
              <w:spacing w:before="44"/>
              <w:ind w:left="107"/>
              <w:rPr>
                <w:sz w:val="21"/>
              </w:rPr>
            </w:pPr>
            <w:r>
              <w:rPr>
                <w:sz w:val="21"/>
              </w:rPr>
              <w:t>5、负载能力：3KG</w:t>
            </w:r>
          </w:p>
          <w:p>
            <w:pPr>
              <w:pStyle w:val="12"/>
              <w:spacing w:before="43"/>
              <w:ind w:left="107"/>
              <w:rPr>
                <w:sz w:val="21"/>
              </w:rPr>
            </w:pPr>
            <w:r>
              <w:rPr>
                <w:sz w:val="21"/>
              </w:rPr>
              <w:t>6、重复定位精度：0.05mm</w:t>
            </w:r>
          </w:p>
          <w:p>
            <w:pPr>
              <w:pStyle w:val="12"/>
              <w:spacing w:before="43" w:line="278" w:lineRule="auto"/>
              <w:ind w:left="107" w:right="94"/>
              <w:rPr>
                <w:sz w:val="21"/>
              </w:rPr>
            </w:pPr>
            <w:r>
              <w:rPr>
                <w:sz w:val="21"/>
              </w:rPr>
              <w:t>7、传感器：6 轴姿态传感器、摄像头、超声波、红外传感器等</w:t>
            </w:r>
          </w:p>
          <w:p>
            <w:pPr>
              <w:pStyle w:val="12"/>
              <w:spacing w:line="269" w:lineRule="exact"/>
              <w:ind w:left="107"/>
              <w:rPr>
                <w:sz w:val="21"/>
              </w:rPr>
            </w:pPr>
            <w:r>
              <w:rPr>
                <w:sz w:val="21"/>
              </w:rPr>
              <w:t>8、通讯接口：can/rs232</w:t>
            </w:r>
          </w:p>
          <w:p>
            <w:pPr>
              <w:pStyle w:val="12"/>
              <w:spacing w:before="42"/>
              <w:ind w:left="107"/>
              <w:rPr>
                <w:sz w:val="21"/>
              </w:rPr>
            </w:pPr>
            <w:r>
              <w:rPr>
                <w:sz w:val="21"/>
              </w:rPr>
              <w:t>9、负载方式：金属迷宫+金属滚珠</w:t>
            </w:r>
          </w:p>
          <w:p>
            <w:pPr>
              <w:pStyle w:val="12"/>
              <w:spacing w:before="43"/>
              <w:ind w:left="107"/>
              <w:rPr>
                <w:sz w:val="21"/>
              </w:rPr>
            </w:pPr>
            <w:r>
              <w:rPr>
                <w:sz w:val="21"/>
              </w:rPr>
              <w:t>10、主控芯片：STM32F103RCT6</w:t>
            </w:r>
          </w:p>
          <w:p>
            <w:pPr>
              <w:pStyle w:val="12"/>
              <w:spacing w:before="43" w:line="278" w:lineRule="auto"/>
              <w:ind w:left="107" w:right="-15"/>
              <w:rPr>
                <w:sz w:val="21"/>
              </w:rPr>
            </w:pPr>
            <w:r>
              <w:rPr>
                <w:sz w:val="21"/>
              </w:rPr>
              <w:t>11</w:t>
            </w:r>
            <w:r>
              <w:rPr>
                <w:spacing w:val="-3"/>
                <w:sz w:val="21"/>
              </w:rPr>
              <w:t>、运动范围：</w:t>
            </w:r>
            <w:r>
              <w:rPr>
                <w:sz w:val="21"/>
              </w:rPr>
              <w:t>XYZ</w:t>
            </w:r>
            <w:r>
              <w:rPr>
                <w:spacing w:val="-14"/>
                <w:sz w:val="21"/>
              </w:rPr>
              <w:t xml:space="preserve"> 俯仰角、翻滚角 </w:t>
            </w:r>
            <w:r>
              <w:rPr>
                <w:sz w:val="21"/>
              </w:rPr>
              <w:t>300mm</w:t>
            </w:r>
            <w:r>
              <w:rPr>
                <w:spacing w:val="-44"/>
                <w:sz w:val="21"/>
              </w:rPr>
              <w:t xml:space="preserve"> </w:t>
            </w:r>
            <w:r>
              <w:rPr>
                <w:sz w:val="21"/>
              </w:rPr>
              <w:t>300mm</w:t>
            </w:r>
            <w:r>
              <w:rPr>
                <w:spacing w:val="-44"/>
                <w:sz w:val="21"/>
              </w:rPr>
              <w:t xml:space="preserve"> </w:t>
            </w:r>
            <w:r>
              <w:rPr>
                <w:sz w:val="21"/>
              </w:rPr>
              <w:t xml:space="preserve">300mm， </w:t>
            </w:r>
            <w:r>
              <w:rPr>
                <w:spacing w:val="-10"/>
                <w:sz w:val="21"/>
              </w:rPr>
              <w:t xml:space="preserve">每轴最大速度 </w:t>
            </w:r>
            <w:r>
              <w:rPr>
                <w:sz w:val="21"/>
              </w:rPr>
              <w:t>X</w:t>
            </w:r>
            <w:r>
              <w:rPr>
                <w:spacing w:val="-36"/>
                <w:sz w:val="21"/>
              </w:rPr>
              <w:t xml:space="preserve"> 轴 </w:t>
            </w:r>
            <w:r>
              <w:rPr>
                <w:sz w:val="21"/>
              </w:rPr>
              <w:t>80mm/S、Y</w:t>
            </w:r>
            <w:r>
              <w:rPr>
                <w:spacing w:val="-36"/>
                <w:sz w:val="21"/>
              </w:rPr>
              <w:t xml:space="preserve"> 轴 </w:t>
            </w:r>
            <w:r>
              <w:rPr>
                <w:sz w:val="21"/>
              </w:rPr>
              <w:t>80mm/S</w:t>
            </w:r>
            <w:r>
              <w:rPr>
                <w:spacing w:val="-3"/>
                <w:sz w:val="21"/>
              </w:rPr>
              <w:t>、</w:t>
            </w:r>
            <w:r>
              <w:rPr>
                <w:sz w:val="21"/>
              </w:rPr>
              <w:t>Z</w:t>
            </w:r>
            <w:r>
              <w:rPr>
                <w:spacing w:val="-36"/>
                <w:sz w:val="21"/>
              </w:rPr>
              <w:t xml:space="preserve"> 轴 </w:t>
            </w:r>
            <w:r>
              <w:rPr>
                <w:sz w:val="21"/>
              </w:rPr>
              <w:t>80mm/S</w:t>
            </w:r>
          </w:p>
          <w:p>
            <w:pPr>
              <w:pStyle w:val="12"/>
              <w:spacing w:line="269" w:lineRule="exact"/>
              <w:ind w:left="107"/>
              <w:rPr>
                <w:sz w:val="21"/>
              </w:rPr>
            </w:pPr>
            <w:r>
              <w:rPr>
                <w:sz w:val="21"/>
              </w:rPr>
              <w:t>12、本体尺寸：500cm*500cm*600cm</w:t>
            </w:r>
          </w:p>
          <w:p>
            <w:pPr>
              <w:pStyle w:val="12"/>
              <w:spacing w:before="43"/>
              <w:ind w:left="107"/>
              <w:rPr>
                <w:sz w:val="21"/>
              </w:rPr>
            </w:pPr>
            <w:r>
              <w:rPr>
                <w:sz w:val="21"/>
              </w:rPr>
              <w:t>13、本体重量：&lt;15Kg</w:t>
            </w:r>
          </w:p>
          <w:p>
            <w:pPr>
              <w:pStyle w:val="12"/>
              <w:spacing w:before="43"/>
              <w:ind w:left="107"/>
              <w:rPr>
                <w:sz w:val="21"/>
              </w:rPr>
            </w:pPr>
            <w:r>
              <w:rPr>
                <w:sz w:val="21"/>
              </w:rPr>
              <w:t>14、操作方式：嵌入式编程/上位机控制</w:t>
            </w:r>
          </w:p>
          <w:p>
            <w:pPr>
              <w:pStyle w:val="12"/>
              <w:spacing w:before="44"/>
              <w:ind w:left="107"/>
              <w:rPr>
                <w:sz w:val="21"/>
              </w:rPr>
            </w:pPr>
            <w:r>
              <w:rPr>
                <w:sz w:val="21"/>
              </w:rPr>
              <w:t>15、供电电源：12V/15A</w:t>
            </w:r>
          </w:p>
        </w:tc>
      </w:tr>
    </w:tbl>
    <w:p>
      <w:pPr>
        <w:pStyle w:val="4"/>
        <w:spacing w:before="4"/>
        <w:ind w:left="0"/>
        <w:rPr>
          <w:sz w:val="6"/>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spacing w:val="-8"/>
        </w:rPr>
      </w:pPr>
      <w:r>
        <w:rPr>
          <w:spacing w:val="-8"/>
        </w:rPr>
        <w:t>（三）</w:t>
      </w:r>
      <w:r>
        <w:rPr>
          <w:rFonts w:hint="eastAsia"/>
          <w:spacing w:val="-8"/>
          <w:lang w:eastAsia="zh-CN"/>
        </w:rPr>
        <w:t>选拔赛</w:t>
      </w:r>
      <w:r>
        <w:rPr>
          <w:spacing w:val="-8"/>
        </w:rPr>
        <w:t>自带设备与工具</w:t>
      </w:r>
    </w:p>
    <w:p>
      <w:pPr>
        <w:pStyle w:val="4"/>
        <w:spacing w:before="4"/>
        <w:ind w:left="0"/>
        <w:rPr>
          <w:sz w:val="10"/>
        </w:rPr>
      </w:pPr>
    </w:p>
    <w:tbl>
      <w:tblPr>
        <w:tblStyle w:val="10"/>
        <w:tblW w:w="0" w:type="auto"/>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1"/>
        <w:gridCol w:w="1570"/>
        <w:gridCol w:w="5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1" w:type="dxa"/>
            <w:vAlign w:val="center"/>
          </w:tcPr>
          <w:p>
            <w:pPr>
              <w:pStyle w:val="12"/>
              <w:spacing w:before="171"/>
              <w:ind w:left="263" w:right="256"/>
              <w:jc w:val="center"/>
              <w:rPr>
                <w:b/>
                <w:sz w:val="21"/>
              </w:rPr>
            </w:pPr>
            <w:r>
              <w:rPr>
                <w:b/>
                <w:sz w:val="21"/>
              </w:rPr>
              <w:t>序号</w:t>
            </w:r>
          </w:p>
        </w:tc>
        <w:tc>
          <w:tcPr>
            <w:tcW w:w="1570" w:type="dxa"/>
            <w:vAlign w:val="center"/>
          </w:tcPr>
          <w:p>
            <w:pPr>
              <w:pStyle w:val="12"/>
              <w:spacing w:before="171"/>
              <w:ind w:left="238" w:right="229"/>
              <w:jc w:val="center"/>
              <w:rPr>
                <w:b/>
                <w:sz w:val="21"/>
              </w:rPr>
            </w:pPr>
            <w:r>
              <w:rPr>
                <w:b/>
                <w:sz w:val="21"/>
              </w:rPr>
              <w:t>仪器设备</w:t>
            </w:r>
          </w:p>
        </w:tc>
        <w:tc>
          <w:tcPr>
            <w:tcW w:w="5046" w:type="dxa"/>
            <w:vAlign w:val="center"/>
          </w:tcPr>
          <w:p>
            <w:pPr>
              <w:pStyle w:val="12"/>
              <w:spacing w:before="171"/>
              <w:ind w:left="1583" w:right="1573"/>
              <w:jc w:val="center"/>
              <w:rPr>
                <w:b/>
                <w:sz w:val="21"/>
              </w:rPr>
            </w:pPr>
            <w:r>
              <w:rPr>
                <w:b/>
                <w:sz w:val="21"/>
              </w:rPr>
              <w:t>规格说明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1" w:type="dxa"/>
            <w:vAlign w:val="center"/>
          </w:tcPr>
          <w:p>
            <w:pPr>
              <w:pStyle w:val="12"/>
              <w:spacing w:before="137"/>
              <w:ind w:left="7"/>
              <w:jc w:val="center"/>
              <w:rPr>
                <w:rFonts w:ascii="Times New Roman"/>
                <w:sz w:val="21"/>
              </w:rPr>
            </w:pPr>
            <w:r>
              <w:rPr>
                <w:rFonts w:ascii="Times New Roman"/>
                <w:sz w:val="21"/>
              </w:rPr>
              <w:t>1</w:t>
            </w:r>
          </w:p>
        </w:tc>
        <w:tc>
          <w:tcPr>
            <w:tcW w:w="1570" w:type="dxa"/>
            <w:vAlign w:val="center"/>
          </w:tcPr>
          <w:p>
            <w:pPr>
              <w:pStyle w:val="12"/>
              <w:spacing w:before="128"/>
              <w:ind w:left="241" w:right="229"/>
              <w:jc w:val="center"/>
              <w:rPr>
                <w:sz w:val="21"/>
              </w:rPr>
            </w:pPr>
            <w:r>
              <w:rPr>
                <w:sz w:val="21"/>
              </w:rPr>
              <w:t>数字万用表</w:t>
            </w:r>
          </w:p>
        </w:tc>
        <w:tc>
          <w:tcPr>
            <w:tcW w:w="5046" w:type="dxa"/>
            <w:vAlign w:val="center"/>
          </w:tcPr>
          <w:p>
            <w:pPr>
              <w:pStyle w:val="12"/>
              <w:spacing w:before="128"/>
              <w:ind w:left="1585" w:right="1573"/>
              <w:jc w:val="center"/>
              <w:rPr>
                <w:sz w:val="21"/>
              </w:rPr>
            </w:pPr>
            <w:r>
              <w:rPr>
                <w:rFonts w:ascii="Times New Roman" w:eastAsia="Times New Roman"/>
                <w:sz w:val="21"/>
              </w:rPr>
              <w:t xml:space="preserve">3 </w:t>
            </w:r>
            <w:r>
              <w:rPr>
                <w:sz w:val="21"/>
              </w:rPr>
              <w:t>位半，多品牌适用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1" w:type="dxa"/>
            <w:vAlign w:val="center"/>
          </w:tcPr>
          <w:p>
            <w:pPr>
              <w:pStyle w:val="12"/>
              <w:spacing w:before="151"/>
              <w:ind w:left="7"/>
              <w:jc w:val="center"/>
              <w:rPr>
                <w:rFonts w:ascii="Times New Roman"/>
                <w:sz w:val="21"/>
              </w:rPr>
            </w:pPr>
            <w:r>
              <w:rPr>
                <w:rFonts w:ascii="Times New Roman"/>
                <w:sz w:val="21"/>
              </w:rPr>
              <w:t>2</w:t>
            </w:r>
          </w:p>
        </w:tc>
        <w:tc>
          <w:tcPr>
            <w:tcW w:w="1570" w:type="dxa"/>
            <w:vAlign w:val="center"/>
          </w:tcPr>
          <w:p>
            <w:pPr>
              <w:pStyle w:val="12"/>
              <w:spacing w:before="142"/>
              <w:ind w:left="241" w:right="229"/>
              <w:jc w:val="center"/>
              <w:rPr>
                <w:sz w:val="21"/>
              </w:rPr>
            </w:pPr>
            <w:r>
              <w:rPr>
                <w:sz w:val="21"/>
              </w:rPr>
              <w:t>恒温烙铁</w:t>
            </w:r>
          </w:p>
        </w:tc>
        <w:tc>
          <w:tcPr>
            <w:tcW w:w="5046" w:type="dxa"/>
            <w:vAlign w:val="center"/>
          </w:tcPr>
          <w:p>
            <w:pPr>
              <w:pStyle w:val="12"/>
              <w:spacing w:before="142"/>
              <w:ind w:left="1585" w:right="1573"/>
              <w:jc w:val="center"/>
              <w:rPr>
                <w:sz w:val="21"/>
              </w:rPr>
            </w:pPr>
            <w:r>
              <w:rPr>
                <w:sz w:val="21"/>
              </w:rPr>
              <w:t>多品牌适用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1" w:type="dxa"/>
            <w:vAlign w:val="center"/>
          </w:tcPr>
          <w:p>
            <w:pPr>
              <w:pStyle w:val="12"/>
              <w:spacing w:before="106"/>
              <w:ind w:left="7"/>
              <w:jc w:val="center"/>
              <w:rPr>
                <w:rFonts w:ascii="Times New Roman"/>
                <w:sz w:val="21"/>
              </w:rPr>
            </w:pPr>
            <w:r>
              <w:rPr>
                <w:rFonts w:ascii="Times New Roman"/>
                <w:sz w:val="21"/>
              </w:rPr>
              <w:t>3</w:t>
            </w:r>
          </w:p>
        </w:tc>
        <w:tc>
          <w:tcPr>
            <w:tcW w:w="1570" w:type="dxa"/>
            <w:vAlign w:val="center"/>
          </w:tcPr>
          <w:p>
            <w:pPr>
              <w:pStyle w:val="12"/>
              <w:spacing w:before="97"/>
              <w:ind w:left="238" w:right="229"/>
              <w:jc w:val="center"/>
              <w:rPr>
                <w:sz w:val="21"/>
              </w:rPr>
            </w:pPr>
            <w:r>
              <w:rPr>
                <w:sz w:val="21"/>
              </w:rPr>
              <w:t>热风枪</w:t>
            </w:r>
          </w:p>
        </w:tc>
        <w:tc>
          <w:tcPr>
            <w:tcW w:w="5046" w:type="dxa"/>
            <w:vAlign w:val="center"/>
          </w:tcPr>
          <w:p>
            <w:pPr>
              <w:pStyle w:val="12"/>
              <w:spacing w:before="97"/>
              <w:ind w:left="1585" w:right="1573"/>
              <w:jc w:val="center"/>
              <w:rPr>
                <w:sz w:val="21"/>
              </w:rPr>
            </w:pPr>
            <w:r>
              <w:rPr>
                <w:sz w:val="21"/>
              </w:rPr>
              <w:t>多品牌适用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1" w:type="dxa"/>
            <w:vAlign w:val="center"/>
          </w:tcPr>
          <w:p>
            <w:pPr>
              <w:pStyle w:val="12"/>
              <w:spacing w:before="9"/>
              <w:jc w:val="center"/>
              <w:rPr>
                <w:sz w:val="30"/>
              </w:rPr>
            </w:pPr>
          </w:p>
          <w:p>
            <w:pPr>
              <w:pStyle w:val="12"/>
              <w:ind w:left="7"/>
              <w:jc w:val="center"/>
              <w:rPr>
                <w:rFonts w:ascii="Times New Roman"/>
                <w:sz w:val="21"/>
              </w:rPr>
            </w:pPr>
            <w:r>
              <w:rPr>
                <w:rFonts w:ascii="Times New Roman"/>
                <w:sz w:val="21"/>
              </w:rPr>
              <w:t>4</w:t>
            </w:r>
          </w:p>
        </w:tc>
        <w:tc>
          <w:tcPr>
            <w:tcW w:w="1570" w:type="dxa"/>
            <w:vAlign w:val="center"/>
          </w:tcPr>
          <w:p>
            <w:pPr>
              <w:pStyle w:val="12"/>
              <w:spacing w:before="131"/>
              <w:ind w:left="238" w:right="229"/>
              <w:jc w:val="center"/>
              <w:rPr>
                <w:sz w:val="21"/>
              </w:rPr>
            </w:pPr>
            <w:r>
              <w:rPr>
                <w:sz w:val="21"/>
              </w:rPr>
              <w:t>工具箱</w:t>
            </w:r>
          </w:p>
        </w:tc>
        <w:tc>
          <w:tcPr>
            <w:tcW w:w="5046" w:type="dxa"/>
            <w:vAlign w:val="center"/>
          </w:tcPr>
          <w:p>
            <w:pPr>
              <w:pStyle w:val="12"/>
              <w:spacing w:before="113" w:line="242" w:lineRule="auto"/>
              <w:ind w:left="108" w:right="-15"/>
              <w:jc w:val="center"/>
              <w:rPr>
                <w:sz w:val="21"/>
              </w:rPr>
            </w:pPr>
            <w:r>
              <w:rPr>
                <w:spacing w:val="-3"/>
                <w:sz w:val="21"/>
              </w:rPr>
              <w:t>含螺丝刀套件</w:t>
            </w:r>
            <w:r>
              <w:rPr>
                <w:sz w:val="21"/>
              </w:rPr>
              <w:t>（</w:t>
            </w:r>
            <w:r>
              <w:rPr>
                <w:spacing w:val="-3"/>
                <w:sz w:val="21"/>
              </w:rPr>
              <w:t>大小十字、一字</w:t>
            </w:r>
            <w:r>
              <w:rPr>
                <w:spacing w:val="-108"/>
                <w:sz w:val="21"/>
              </w:rPr>
              <w:t>）</w:t>
            </w:r>
            <w:r>
              <w:rPr>
                <w:spacing w:val="-3"/>
                <w:sz w:val="21"/>
              </w:rPr>
              <w:t>、芯片盒、细毛刷、洗板水壶、吸锡枪、助焊膏、尖嘴钳、偏口钳、焊锡丝、吸锡带、飞线、刀片、粗毛刷、防静电镊子等。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1" w:type="dxa"/>
            <w:vAlign w:val="center"/>
          </w:tcPr>
          <w:p>
            <w:pPr>
              <w:pStyle w:val="12"/>
              <w:spacing w:before="127"/>
              <w:ind w:left="7"/>
              <w:jc w:val="center"/>
              <w:rPr>
                <w:rFonts w:ascii="Times New Roman"/>
                <w:sz w:val="21"/>
              </w:rPr>
            </w:pPr>
            <w:r>
              <w:rPr>
                <w:rFonts w:ascii="Times New Roman"/>
                <w:sz w:val="21"/>
              </w:rPr>
              <w:t>5</w:t>
            </w:r>
          </w:p>
        </w:tc>
        <w:tc>
          <w:tcPr>
            <w:tcW w:w="1570" w:type="dxa"/>
            <w:vAlign w:val="center"/>
          </w:tcPr>
          <w:p>
            <w:pPr>
              <w:pStyle w:val="12"/>
              <w:spacing w:before="121"/>
              <w:ind w:left="238" w:right="229"/>
              <w:jc w:val="center"/>
              <w:rPr>
                <w:sz w:val="21"/>
              </w:rPr>
            </w:pPr>
            <w:r>
              <w:rPr>
                <w:sz w:val="21"/>
              </w:rPr>
              <w:t>电脑</w:t>
            </w:r>
          </w:p>
        </w:tc>
        <w:tc>
          <w:tcPr>
            <w:tcW w:w="5046" w:type="dxa"/>
            <w:vAlign w:val="center"/>
          </w:tcPr>
          <w:p>
            <w:pPr>
              <w:pStyle w:val="12"/>
              <w:spacing w:before="121"/>
              <w:ind w:left="1583" w:right="1573"/>
              <w:jc w:val="center"/>
              <w:rPr>
                <w:sz w:val="21"/>
              </w:rPr>
            </w:pPr>
            <w:r>
              <w:rPr>
                <w:sz w:val="21"/>
              </w:rPr>
              <w:t xml:space="preserve">笔记本电脑 </w:t>
            </w:r>
            <w:r>
              <w:rPr>
                <w:rFonts w:ascii="Times New Roman" w:eastAsia="Times New Roman"/>
                <w:sz w:val="21"/>
              </w:rPr>
              <w:t xml:space="preserve">2 </w:t>
            </w:r>
            <w:r>
              <w:rPr>
                <w:sz w:val="21"/>
              </w:rPr>
              <w:t>台</w:t>
            </w:r>
          </w:p>
        </w:tc>
      </w:tr>
    </w:tbl>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528" w:firstLineChars="200"/>
        <w:textAlignment w:val="auto"/>
        <w:rPr>
          <w:spacing w:val="-8"/>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528" w:firstLineChars="200"/>
        <w:textAlignment w:val="auto"/>
        <w:rPr>
          <w:spacing w:val="-8"/>
        </w:rPr>
      </w:pP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right="0" w:firstLine="528" w:firstLineChars="200"/>
        <w:textAlignment w:val="auto"/>
        <w:rPr>
          <w:spacing w:val="-8"/>
        </w:rPr>
      </w:pPr>
      <w:r>
        <w:rPr>
          <w:spacing w:val="-8"/>
        </w:rPr>
        <w:t>（四）</w:t>
      </w:r>
      <w:r>
        <w:rPr>
          <w:rFonts w:hint="eastAsia"/>
          <w:spacing w:val="-8"/>
          <w:lang w:eastAsia="zh-CN"/>
        </w:rPr>
        <w:t>选拔赛</w:t>
      </w:r>
      <w:r>
        <w:rPr>
          <w:spacing w:val="-8"/>
        </w:rPr>
        <w:t>软件平台标准</w:t>
      </w:r>
    </w:p>
    <w:p>
      <w:pPr>
        <w:pStyle w:val="4"/>
        <w:spacing w:before="5"/>
        <w:ind w:left="0"/>
        <w:rPr>
          <w:sz w:val="10"/>
        </w:rPr>
      </w:pPr>
    </w:p>
    <w:tbl>
      <w:tblPr>
        <w:tblStyle w:val="10"/>
        <w:tblW w:w="0" w:type="auto"/>
        <w:tblInd w:w="5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3363"/>
        <w:gridCol w:w="3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6" w:type="dxa"/>
            <w:vAlign w:val="top"/>
          </w:tcPr>
          <w:p>
            <w:pPr>
              <w:pStyle w:val="12"/>
              <w:spacing w:before="99"/>
              <w:ind w:left="260" w:right="251"/>
              <w:jc w:val="center"/>
              <w:rPr>
                <w:b/>
                <w:sz w:val="21"/>
              </w:rPr>
            </w:pPr>
            <w:r>
              <w:rPr>
                <w:b/>
                <w:sz w:val="21"/>
              </w:rPr>
              <w:t>序号</w:t>
            </w:r>
          </w:p>
        </w:tc>
        <w:tc>
          <w:tcPr>
            <w:tcW w:w="3363" w:type="dxa"/>
            <w:vAlign w:val="top"/>
          </w:tcPr>
          <w:p>
            <w:pPr>
              <w:pStyle w:val="12"/>
              <w:spacing w:before="99"/>
              <w:ind w:left="147" w:right="137"/>
              <w:jc w:val="center"/>
              <w:rPr>
                <w:b/>
                <w:sz w:val="21"/>
              </w:rPr>
            </w:pPr>
            <w:r>
              <w:rPr>
                <w:b/>
                <w:sz w:val="21"/>
              </w:rPr>
              <w:t>推荐软件</w:t>
            </w:r>
          </w:p>
        </w:tc>
        <w:tc>
          <w:tcPr>
            <w:tcW w:w="3084" w:type="dxa"/>
            <w:vAlign w:val="top"/>
          </w:tcPr>
          <w:p>
            <w:pPr>
              <w:pStyle w:val="12"/>
              <w:spacing w:before="99"/>
              <w:ind w:left="454" w:right="446"/>
              <w:jc w:val="center"/>
              <w:rPr>
                <w:b/>
                <w:sz w:val="21"/>
              </w:rPr>
            </w:pPr>
            <w:r>
              <w:rPr>
                <w:b/>
                <w:sz w:val="21"/>
              </w:rPr>
              <w:t>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6" w:type="dxa"/>
            <w:vAlign w:val="top"/>
          </w:tcPr>
          <w:p>
            <w:pPr>
              <w:pStyle w:val="12"/>
              <w:spacing w:before="151"/>
              <w:ind w:left="9"/>
              <w:jc w:val="center"/>
              <w:rPr>
                <w:rFonts w:ascii="Times New Roman"/>
                <w:sz w:val="21"/>
              </w:rPr>
            </w:pPr>
            <w:r>
              <w:rPr>
                <w:rFonts w:ascii="Times New Roman"/>
                <w:sz w:val="21"/>
              </w:rPr>
              <w:t>1</w:t>
            </w:r>
          </w:p>
        </w:tc>
        <w:tc>
          <w:tcPr>
            <w:tcW w:w="3363" w:type="dxa"/>
            <w:vAlign w:val="top"/>
          </w:tcPr>
          <w:p>
            <w:pPr>
              <w:pStyle w:val="12"/>
              <w:spacing w:before="142"/>
              <w:ind w:left="147" w:right="138"/>
              <w:jc w:val="center"/>
              <w:rPr>
                <w:sz w:val="21"/>
                <w:lang w:val="en-US"/>
              </w:rPr>
            </w:pPr>
            <w:r>
              <w:rPr>
                <w:rFonts w:ascii="Times New Roman" w:eastAsia="Times New Roman"/>
                <w:sz w:val="21"/>
                <w:lang w:val="en-US"/>
              </w:rPr>
              <w:t xml:space="preserve">Windows 7 32bit/64bit </w:t>
            </w:r>
            <w:r>
              <w:rPr>
                <w:sz w:val="21"/>
              </w:rPr>
              <w:t>及以上版本</w:t>
            </w:r>
          </w:p>
        </w:tc>
        <w:tc>
          <w:tcPr>
            <w:tcW w:w="3084" w:type="dxa"/>
            <w:vAlign w:val="top"/>
          </w:tcPr>
          <w:p>
            <w:pPr>
              <w:pStyle w:val="12"/>
              <w:spacing w:before="142"/>
              <w:ind w:left="456" w:right="446"/>
              <w:jc w:val="center"/>
              <w:rPr>
                <w:sz w:val="21"/>
              </w:rPr>
            </w:pPr>
            <w:r>
              <w:rPr>
                <w:sz w:val="21"/>
              </w:rPr>
              <w:t>操作系统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6" w:type="dxa"/>
            <w:vAlign w:val="top"/>
          </w:tcPr>
          <w:p>
            <w:pPr>
              <w:pStyle w:val="12"/>
              <w:spacing w:before="137"/>
              <w:ind w:left="9"/>
              <w:jc w:val="center"/>
              <w:rPr>
                <w:rFonts w:ascii="Times New Roman"/>
                <w:sz w:val="21"/>
              </w:rPr>
            </w:pPr>
            <w:r>
              <w:rPr>
                <w:rFonts w:ascii="Times New Roman"/>
                <w:sz w:val="21"/>
              </w:rPr>
              <w:t>2</w:t>
            </w:r>
          </w:p>
        </w:tc>
        <w:tc>
          <w:tcPr>
            <w:tcW w:w="3363" w:type="dxa"/>
            <w:vAlign w:val="top"/>
          </w:tcPr>
          <w:p>
            <w:pPr>
              <w:pStyle w:val="12"/>
              <w:spacing w:before="130"/>
              <w:ind w:left="147" w:right="135"/>
              <w:jc w:val="center"/>
              <w:rPr>
                <w:sz w:val="21"/>
                <w:lang w:val="en-US"/>
              </w:rPr>
            </w:pPr>
            <w:r>
              <w:rPr>
                <w:rFonts w:ascii="Times New Roman" w:eastAsia="Times New Roman"/>
                <w:sz w:val="21"/>
                <w:lang w:val="en-US"/>
              </w:rPr>
              <w:t xml:space="preserve">Microsoft Office 2007 </w:t>
            </w:r>
            <w:r>
              <w:rPr>
                <w:sz w:val="21"/>
              </w:rPr>
              <w:t>及以上版本</w:t>
            </w:r>
          </w:p>
        </w:tc>
        <w:tc>
          <w:tcPr>
            <w:tcW w:w="3084" w:type="dxa"/>
            <w:vAlign w:val="top"/>
          </w:tcPr>
          <w:p>
            <w:pPr>
              <w:pStyle w:val="12"/>
              <w:spacing w:before="130"/>
              <w:ind w:left="458" w:right="446"/>
              <w:jc w:val="center"/>
              <w:rPr>
                <w:sz w:val="21"/>
              </w:rPr>
            </w:pPr>
            <w:r>
              <w:rPr>
                <w:sz w:val="21"/>
              </w:rPr>
              <w:t>文档编辑工具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6" w:type="dxa"/>
            <w:vAlign w:val="top"/>
          </w:tcPr>
          <w:p>
            <w:pPr>
              <w:pStyle w:val="12"/>
              <w:spacing w:before="94"/>
              <w:ind w:left="9"/>
              <w:jc w:val="center"/>
              <w:rPr>
                <w:rFonts w:ascii="Times New Roman"/>
                <w:sz w:val="21"/>
              </w:rPr>
            </w:pPr>
            <w:r>
              <w:rPr>
                <w:rFonts w:ascii="Times New Roman"/>
                <w:sz w:val="21"/>
              </w:rPr>
              <w:t>3</w:t>
            </w:r>
          </w:p>
        </w:tc>
        <w:tc>
          <w:tcPr>
            <w:tcW w:w="3363" w:type="dxa"/>
            <w:vAlign w:val="top"/>
          </w:tcPr>
          <w:p>
            <w:pPr>
              <w:pStyle w:val="12"/>
              <w:spacing w:before="85"/>
              <w:ind w:left="22" w:right="138"/>
              <w:jc w:val="center"/>
              <w:rPr>
                <w:sz w:val="21"/>
                <w:lang w:val="en-US"/>
              </w:rPr>
            </w:pPr>
            <w:r>
              <w:rPr>
                <w:rFonts w:ascii="Times New Roman" w:eastAsia="Times New Roman"/>
                <w:sz w:val="21"/>
                <w:lang w:val="en-US"/>
              </w:rPr>
              <w:t>Keil 51</w:t>
            </w:r>
            <w:r>
              <w:rPr>
                <w:sz w:val="21"/>
              </w:rPr>
              <w:t>、</w:t>
            </w:r>
            <w:r>
              <w:rPr>
                <w:rFonts w:ascii="Times New Roman" w:eastAsia="Times New Roman"/>
                <w:sz w:val="21"/>
                <w:lang w:val="en-US"/>
              </w:rPr>
              <w:t xml:space="preserve">Keil ARM </w:t>
            </w:r>
            <w:r>
              <w:rPr>
                <w:sz w:val="21"/>
              </w:rPr>
              <w:t>等</w:t>
            </w:r>
          </w:p>
        </w:tc>
        <w:tc>
          <w:tcPr>
            <w:tcW w:w="3084" w:type="dxa"/>
            <w:vAlign w:val="top"/>
          </w:tcPr>
          <w:p>
            <w:pPr>
              <w:pStyle w:val="12"/>
              <w:spacing w:before="85"/>
              <w:ind w:left="458" w:right="446"/>
              <w:jc w:val="center"/>
              <w:rPr>
                <w:sz w:val="21"/>
              </w:rPr>
            </w:pPr>
            <w:r>
              <w:rPr>
                <w:sz w:val="21"/>
              </w:rPr>
              <w:t>嵌入式开发环境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6" w:type="dxa"/>
            <w:vAlign w:val="top"/>
          </w:tcPr>
          <w:p>
            <w:pPr>
              <w:pStyle w:val="12"/>
              <w:spacing w:before="130"/>
              <w:ind w:left="9"/>
              <w:jc w:val="center"/>
              <w:rPr>
                <w:rFonts w:ascii="Times New Roman"/>
                <w:sz w:val="21"/>
              </w:rPr>
            </w:pPr>
            <w:r>
              <w:rPr>
                <w:rFonts w:ascii="Times New Roman"/>
                <w:sz w:val="21"/>
              </w:rPr>
              <w:t>4</w:t>
            </w:r>
          </w:p>
        </w:tc>
        <w:tc>
          <w:tcPr>
            <w:tcW w:w="3363" w:type="dxa"/>
            <w:vAlign w:val="top"/>
          </w:tcPr>
          <w:p>
            <w:pPr>
              <w:pStyle w:val="12"/>
              <w:spacing w:before="121"/>
              <w:ind w:left="147" w:right="137"/>
              <w:jc w:val="center"/>
              <w:rPr>
                <w:sz w:val="21"/>
              </w:rPr>
            </w:pPr>
            <w:r>
              <w:rPr>
                <w:rFonts w:ascii="Times New Roman" w:eastAsia="Times New Roman"/>
                <w:sz w:val="21"/>
              </w:rPr>
              <w:t xml:space="preserve">UartAssist </w:t>
            </w:r>
            <w:r>
              <w:rPr>
                <w:sz w:val="21"/>
              </w:rPr>
              <w:t>等</w:t>
            </w:r>
          </w:p>
        </w:tc>
        <w:tc>
          <w:tcPr>
            <w:tcW w:w="3084" w:type="dxa"/>
            <w:vAlign w:val="top"/>
          </w:tcPr>
          <w:p>
            <w:pPr>
              <w:pStyle w:val="12"/>
              <w:spacing w:before="121"/>
              <w:ind w:left="456" w:right="446"/>
              <w:jc w:val="center"/>
              <w:rPr>
                <w:sz w:val="21"/>
              </w:rPr>
            </w:pPr>
            <w:r>
              <w:rPr>
                <w:sz w:val="21"/>
              </w:rPr>
              <w:t>串口调试助手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96" w:type="dxa"/>
            <w:vAlign w:val="top"/>
          </w:tcPr>
          <w:p>
            <w:pPr>
              <w:pStyle w:val="12"/>
              <w:spacing w:before="159"/>
              <w:ind w:left="9"/>
              <w:jc w:val="center"/>
              <w:rPr>
                <w:rFonts w:ascii="Times New Roman"/>
                <w:sz w:val="21"/>
              </w:rPr>
            </w:pPr>
            <w:r>
              <w:rPr>
                <w:rFonts w:ascii="Times New Roman"/>
                <w:sz w:val="21"/>
              </w:rPr>
              <w:t>5</w:t>
            </w:r>
          </w:p>
        </w:tc>
        <w:tc>
          <w:tcPr>
            <w:tcW w:w="3363" w:type="dxa"/>
            <w:vAlign w:val="top"/>
          </w:tcPr>
          <w:p>
            <w:pPr>
              <w:pStyle w:val="12"/>
              <w:spacing w:before="152"/>
              <w:ind w:left="147" w:right="135"/>
              <w:jc w:val="center"/>
              <w:rPr>
                <w:sz w:val="21"/>
                <w:lang w:val="en-US"/>
              </w:rPr>
            </w:pPr>
            <w:r>
              <w:rPr>
                <w:rFonts w:ascii="Times New Roman" w:eastAsia="Times New Roman"/>
                <w:sz w:val="21"/>
                <w:lang w:val="en-US"/>
              </w:rPr>
              <w:t>Altium Designer 14</w:t>
            </w:r>
            <w:r>
              <w:rPr>
                <w:sz w:val="21"/>
              </w:rPr>
              <w:t>及以上版本</w:t>
            </w:r>
          </w:p>
        </w:tc>
        <w:tc>
          <w:tcPr>
            <w:tcW w:w="3084" w:type="dxa"/>
            <w:vAlign w:val="top"/>
          </w:tcPr>
          <w:p>
            <w:pPr>
              <w:pStyle w:val="12"/>
              <w:spacing w:before="152"/>
              <w:ind w:left="458" w:right="446"/>
              <w:jc w:val="center"/>
              <w:rPr>
                <w:sz w:val="21"/>
              </w:rPr>
            </w:pPr>
            <w:r>
              <w:rPr>
                <w:sz w:val="21"/>
              </w:rPr>
              <w:t>电路原理图</w:t>
            </w:r>
            <w:r>
              <w:rPr>
                <w:rFonts w:ascii="Times New Roman" w:eastAsia="Times New Roman"/>
                <w:sz w:val="21"/>
              </w:rPr>
              <w:t xml:space="preserve">PCB </w:t>
            </w:r>
            <w:r>
              <w:rPr>
                <w:sz w:val="21"/>
              </w:rPr>
              <w:t>图设计</w:t>
            </w:r>
          </w:p>
        </w:tc>
      </w:tr>
    </w:tbl>
    <w:p>
      <w:pPr>
        <w:pStyle w:val="4"/>
        <w:spacing w:before="201" w:line="374" w:lineRule="auto"/>
        <w:ind w:right="202" w:firstLine="559"/>
        <w:rPr>
          <w:rFonts w:hint="eastAsia"/>
          <w:b/>
          <w:sz w:val="28"/>
          <w:lang w:eastAsia="zh-CN"/>
        </w:rPr>
      </w:pPr>
      <w:r>
        <w:rPr>
          <w:rFonts w:hint="eastAsia"/>
          <w:b/>
          <w:sz w:val="28"/>
          <w:lang w:eastAsia="zh-CN"/>
        </w:rPr>
        <w:t>九、申诉与仲裁</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default" w:ascii="Times New Roman" w:hAnsi="Times New Roman" w:cs="Times New Roman"/>
          <w:spacing w:val="-8"/>
        </w:rPr>
        <w:t>（一）申诉</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eastAsia" w:ascii="Times New Roman" w:hAnsi="Times New Roman" w:cs="Times New Roman"/>
          <w:spacing w:val="-8"/>
          <w:lang w:val="en-US" w:eastAsia="zh-CN"/>
        </w:rPr>
        <w:t xml:space="preserve">1.  </w:t>
      </w:r>
      <w:r>
        <w:rPr>
          <w:rFonts w:hint="default" w:ascii="Times New Roman" w:hAnsi="Times New Roman" w:cs="Times New Roman"/>
          <w:spacing w:val="-8"/>
        </w:rPr>
        <w:t>参赛队对不符合</w:t>
      </w:r>
      <w:r>
        <w:rPr>
          <w:rFonts w:hint="eastAsia" w:ascii="Times New Roman" w:hAnsi="Times New Roman" w:cs="Times New Roman"/>
          <w:spacing w:val="-8"/>
          <w:lang w:eastAsia="zh-CN"/>
        </w:rPr>
        <w:t>选拔赛</w:t>
      </w:r>
      <w:r>
        <w:rPr>
          <w:rFonts w:hint="default" w:ascii="Times New Roman" w:hAnsi="Times New Roman" w:cs="Times New Roman"/>
          <w:spacing w:val="-8"/>
        </w:rPr>
        <w:t>规定的设备、软件、电子操作工具和材料备件等</w:t>
      </w:r>
      <w:r>
        <w:rPr>
          <w:rFonts w:hint="eastAsia" w:ascii="Times New Roman" w:hAnsi="Times New Roman" w:cs="Times New Roman"/>
          <w:spacing w:val="-8"/>
          <w:lang w:eastAsia="zh-CN"/>
        </w:rPr>
        <w:t>选拔赛</w:t>
      </w:r>
      <w:r>
        <w:rPr>
          <w:rFonts w:hint="default" w:ascii="Times New Roman" w:hAnsi="Times New Roman" w:cs="Times New Roman"/>
          <w:spacing w:val="-8"/>
        </w:rPr>
        <w:t>用具、用品，有失公正的检测、评判、奖励做法，以及对工作人员的违规行为等，均可提出申诉。</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eastAsia" w:ascii="Times New Roman" w:hAnsi="Times New Roman" w:cs="Times New Roman"/>
          <w:spacing w:val="-8"/>
          <w:lang w:val="en-US" w:eastAsia="zh-CN"/>
        </w:rPr>
        <w:t xml:space="preserve">2. </w:t>
      </w:r>
      <w:r>
        <w:rPr>
          <w:rFonts w:hint="default" w:ascii="Times New Roman" w:hAnsi="Times New Roman" w:cs="Times New Roman"/>
          <w:spacing w:val="-8"/>
        </w:rPr>
        <w:t>申诉时，应向赛项仲裁组递交由参赛队领队签字的书面报告， 报告应对申诉事件的内容、发生的时间、涉及的人员、申诉依据与理由等进行充分、实事求是的叙述。对事实依据不充分、仅凭主观臆断的申诉不予受理。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eastAsia" w:ascii="Times New Roman" w:hAnsi="Times New Roman" w:cs="Times New Roman"/>
          <w:spacing w:val="-8"/>
          <w:lang w:val="en-US" w:eastAsia="zh-CN"/>
        </w:rPr>
        <w:t xml:space="preserve">3. </w:t>
      </w:r>
      <w:r>
        <w:rPr>
          <w:rFonts w:hint="default" w:ascii="Times New Roman" w:hAnsi="Times New Roman" w:cs="Times New Roman"/>
          <w:spacing w:val="-8"/>
        </w:rPr>
        <w:t>申诉时效：申诉应在</w:t>
      </w:r>
      <w:r>
        <w:rPr>
          <w:rFonts w:hint="eastAsia" w:ascii="Times New Roman" w:hAnsi="Times New Roman" w:cs="Times New Roman"/>
          <w:spacing w:val="-8"/>
          <w:lang w:eastAsia="zh-CN"/>
        </w:rPr>
        <w:t>选拔赛</w:t>
      </w:r>
      <w:r>
        <w:rPr>
          <w:rFonts w:hint="default" w:ascii="Times New Roman" w:hAnsi="Times New Roman" w:cs="Times New Roman"/>
          <w:spacing w:val="-8"/>
        </w:rPr>
        <w:t>结束后 2 小时内提出，超过时效将不予受理。</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eastAsia" w:ascii="Times New Roman" w:hAnsi="Times New Roman" w:cs="Times New Roman"/>
          <w:spacing w:val="-8"/>
          <w:lang w:val="en-US" w:eastAsia="zh-CN"/>
        </w:rPr>
        <w:t xml:space="preserve">4. </w:t>
      </w:r>
      <w:r>
        <w:rPr>
          <w:rFonts w:hint="default" w:ascii="Times New Roman" w:hAnsi="Times New Roman" w:cs="Times New Roman"/>
          <w:spacing w:val="-8"/>
        </w:rPr>
        <w:t>申诉处理：赛项仲裁工作组收到申诉报告后，应根据申诉事由进行审查，2 小时内书面通知申诉方，告知申诉处理结果。</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default" w:ascii="Times New Roman" w:hAnsi="Times New Roman" w:cs="Times New Roman"/>
          <w:spacing w:val="-8"/>
        </w:rPr>
        <w:t>（二）仲裁</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eastAsia" w:ascii="Times New Roman" w:hAnsi="Times New Roman" w:cs="Times New Roman"/>
          <w:spacing w:val="-8"/>
          <w:lang w:val="en-US" w:eastAsia="zh-CN"/>
        </w:rPr>
        <w:t xml:space="preserve">1. </w:t>
      </w:r>
      <w:r>
        <w:rPr>
          <w:rFonts w:hint="default" w:ascii="Times New Roman" w:hAnsi="Times New Roman" w:cs="Times New Roman"/>
          <w:spacing w:val="-8"/>
        </w:rPr>
        <w:t>组委会下设仲裁工作组，负责受理大赛中出现的所有申诉并进行仲裁，以保证</w:t>
      </w:r>
      <w:r>
        <w:rPr>
          <w:rFonts w:hint="eastAsia" w:ascii="Times New Roman" w:hAnsi="Times New Roman" w:cs="Times New Roman"/>
          <w:spacing w:val="-8"/>
          <w:lang w:eastAsia="zh-CN"/>
        </w:rPr>
        <w:t>选拔赛</w:t>
      </w:r>
      <w:r>
        <w:rPr>
          <w:rFonts w:hint="default" w:ascii="Times New Roman" w:hAnsi="Times New Roman" w:cs="Times New Roman"/>
          <w:spacing w:val="-8"/>
        </w:rPr>
        <w:t>的顺利进行和</w:t>
      </w:r>
      <w:r>
        <w:rPr>
          <w:rFonts w:hint="eastAsia" w:ascii="Times New Roman" w:hAnsi="Times New Roman" w:cs="Times New Roman"/>
          <w:spacing w:val="-8"/>
          <w:lang w:eastAsia="zh-CN"/>
        </w:rPr>
        <w:t>选拔赛</w:t>
      </w:r>
      <w:r>
        <w:rPr>
          <w:rFonts w:hint="default" w:ascii="Times New Roman" w:hAnsi="Times New Roman" w:cs="Times New Roman"/>
          <w:spacing w:val="-8"/>
        </w:rPr>
        <w:t>结果公平、公正。</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eastAsia" w:ascii="Times New Roman" w:hAnsi="Times New Roman" w:cs="Times New Roman"/>
          <w:spacing w:val="-8"/>
          <w:lang w:val="en-US" w:eastAsia="zh-CN"/>
        </w:rPr>
        <w:t xml:space="preserve">2. </w:t>
      </w:r>
      <w:r>
        <w:rPr>
          <w:rFonts w:hint="default" w:ascii="Times New Roman" w:hAnsi="Times New Roman" w:cs="Times New Roman"/>
          <w:spacing w:val="-8"/>
        </w:rPr>
        <w:t>仲裁工作组的裁决为最终裁决，参赛队不得因申诉或对处理意见不服而停止比赛或滋事，否则按弃权处理。</w:t>
      </w:r>
    </w:p>
    <w:p>
      <w:pPr>
        <w:pStyle w:val="4"/>
        <w:spacing w:before="201" w:line="374" w:lineRule="auto"/>
        <w:ind w:right="202" w:firstLine="559"/>
        <w:rPr>
          <w:rFonts w:hint="eastAsia"/>
          <w:b/>
          <w:sz w:val="28"/>
          <w:lang w:eastAsia="zh-CN"/>
        </w:rPr>
      </w:pPr>
      <w:r>
        <w:rPr>
          <w:rFonts w:hint="eastAsia"/>
          <w:b/>
          <w:sz w:val="28"/>
          <w:lang w:eastAsia="zh-CN"/>
        </w:rPr>
        <w:t>十、说明</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default" w:ascii="Times New Roman" w:hAnsi="Times New Roman" w:cs="Times New Roman"/>
          <w:spacing w:val="-8"/>
        </w:rPr>
      </w:pPr>
      <w:r>
        <w:rPr>
          <w:rFonts w:hint="eastAsia" w:ascii="Times New Roman" w:hAnsi="Times New Roman" w:cs="Times New Roman"/>
          <w:spacing w:val="-8"/>
          <w:lang w:val="en-US" w:eastAsia="zh-CN"/>
        </w:rPr>
        <w:t>2021年全国职业院校技能大赛高职组安徽省选拔赛电子产品设计及制作赛项竞赛规程</w:t>
      </w:r>
      <w:r>
        <w:rPr>
          <w:rFonts w:hint="default" w:ascii="Times New Roman" w:hAnsi="Times New Roman" w:cs="Times New Roman"/>
          <w:spacing w:val="-8"/>
        </w:rPr>
        <w:t>一切解释权归</w:t>
      </w:r>
      <w:r>
        <w:rPr>
          <w:rFonts w:hint="eastAsia" w:ascii="Times New Roman" w:hAnsi="Times New Roman" w:cs="Times New Roman"/>
          <w:spacing w:val="-8"/>
          <w:lang w:val="en-US" w:eastAsia="zh-CN"/>
        </w:rPr>
        <w:t>本</w:t>
      </w:r>
      <w:r>
        <w:rPr>
          <w:rFonts w:hint="default" w:ascii="Times New Roman" w:hAnsi="Times New Roman" w:cs="Times New Roman"/>
          <w:spacing w:val="-8"/>
        </w:rPr>
        <w:t>赛项组委会。</w:t>
      </w:r>
    </w:p>
    <w:p>
      <w:pPr>
        <w:pStyle w:val="4"/>
        <w:spacing w:before="201" w:line="374" w:lineRule="auto"/>
        <w:ind w:right="202" w:firstLine="559"/>
        <w:rPr>
          <w:rFonts w:hint="eastAsia"/>
          <w:b/>
          <w:sz w:val="28"/>
          <w:lang w:val="en-US" w:eastAsia="zh-CN"/>
        </w:rPr>
      </w:pPr>
      <w:r>
        <w:rPr>
          <w:rFonts w:hint="eastAsia"/>
          <w:b/>
          <w:sz w:val="28"/>
          <w:lang w:val="en-US" w:eastAsia="zh-CN"/>
        </w:rPr>
        <w:t>十一、其他</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119" w:right="204" w:firstLine="528" w:firstLineChars="200"/>
        <w:textAlignment w:val="auto"/>
        <w:rPr>
          <w:rFonts w:hint="eastAsia" w:ascii="Times New Roman" w:hAnsi="Times New Roman" w:cs="Times New Roman"/>
          <w:spacing w:val="-8"/>
          <w:lang w:val="en-US" w:eastAsia="zh-CN"/>
        </w:rPr>
      </w:pPr>
      <w:r>
        <w:rPr>
          <w:rFonts w:hint="eastAsia" w:ascii="Times New Roman" w:hAnsi="Times New Roman" w:cs="Times New Roman"/>
          <w:spacing w:val="-8"/>
          <w:lang w:val="en-US" w:eastAsia="zh-CN"/>
        </w:rPr>
        <w:t>附件：2021年全国职业院校技能大赛高职组安徽省选拔赛电子产品设计及制作赛项疫情防控工作预案</w:t>
      </w:r>
    </w:p>
    <w:p>
      <w:pPr>
        <w:rPr>
          <w:rFonts w:hint="eastAsia"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br w:type="page"/>
      </w:r>
    </w:p>
    <w:p>
      <w:pPr>
        <w:snapToGrid w:val="0"/>
        <w:spacing w:line="440" w:lineRule="exact"/>
        <w:jc w:val="both"/>
        <w:rPr>
          <w:rFonts w:hint="default" w:ascii="宋体" w:hAnsi="宋体" w:eastAsia="宋体" w:cs="宋体"/>
          <w:b w:val="0"/>
          <w:bCs w:val="0"/>
          <w:color w:val="auto"/>
          <w:kern w:val="0"/>
          <w:sz w:val="28"/>
          <w:szCs w:val="28"/>
          <w:lang w:val="en-US" w:eastAsia="zh-CN"/>
        </w:rPr>
      </w:pPr>
      <w:r>
        <w:rPr>
          <w:rFonts w:hint="eastAsia" w:ascii="宋体" w:hAnsi="宋体" w:eastAsia="宋体" w:cs="宋体"/>
          <w:b w:val="0"/>
          <w:bCs w:val="0"/>
          <w:color w:val="auto"/>
          <w:kern w:val="0"/>
          <w:sz w:val="28"/>
          <w:szCs w:val="28"/>
          <w:lang w:val="en-US" w:eastAsia="zh-CN"/>
        </w:rPr>
        <w:t>附件：</w:t>
      </w:r>
    </w:p>
    <w:p>
      <w:pPr>
        <w:snapToGrid w:val="0"/>
        <w:spacing w:line="440" w:lineRule="exact"/>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2021年全国职业院校技能大赛高职组安徽省选拔赛</w:t>
      </w:r>
    </w:p>
    <w:p>
      <w:pPr>
        <w:snapToGrid w:val="0"/>
        <w:spacing w:line="440" w:lineRule="exact"/>
        <w:jc w:val="center"/>
        <w:rPr>
          <w:rFonts w:hint="eastAsia" w:ascii="宋体" w:hAnsi="宋体" w:eastAsia="宋体" w:cs="宋体"/>
          <w:b/>
          <w:bCs/>
          <w:color w:val="auto"/>
          <w:kern w:val="0"/>
          <w:sz w:val="28"/>
          <w:szCs w:val="28"/>
          <w:lang w:val="en-US" w:eastAsia="zh-CN"/>
        </w:rPr>
      </w:pPr>
      <w:r>
        <w:rPr>
          <w:rFonts w:hint="eastAsia" w:ascii="宋体" w:hAnsi="宋体" w:eastAsia="宋体" w:cs="宋体"/>
          <w:b/>
          <w:bCs/>
          <w:color w:val="auto"/>
          <w:kern w:val="0"/>
          <w:sz w:val="28"/>
          <w:szCs w:val="28"/>
          <w:lang w:val="en-US" w:eastAsia="zh-CN"/>
        </w:rPr>
        <w:t>电子产品设计及制作赛项疫情防控工作预案</w:t>
      </w:r>
    </w:p>
    <w:p>
      <w:pPr>
        <w:snapToGrid w:val="0"/>
        <w:spacing w:line="440" w:lineRule="exact"/>
        <w:ind w:firstLine="480" w:firstLineChars="200"/>
        <w:rPr>
          <w:rFonts w:hint="eastAsia" w:ascii="仿宋_GB2312" w:hAnsi="宋体" w:eastAsia="仿宋_GB2312"/>
          <w:color w:val="auto"/>
          <w:kern w:val="0"/>
          <w:sz w:val="24"/>
        </w:rPr>
      </w:pP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为有效防控处置新型冠状病毒感染肺炎疫情，切实保障</w:t>
      </w:r>
      <w:r>
        <w:rPr>
          <w:rFonts w:hint="eastAsia" w:ascii="宋体" w:hAnsi="宋体" w:eastAsia="宋体" w:cs="宋体"/>
          <w:color w:val="auto"/>
          <w:kern w:val="0"/>
          <w:sz w:val="28"/>
          <w:szCs w:val="28"/>
          <w:lang w:val="en-US" w:eastAsia="zh-CN"/>
        </w:rPr>
        <w:t>2021年全国职业院校技能大赛高职组安徽省选拔赛电子产品设计及制作赛项</w:t>
      </w:r>
      <w:r>
        <w:rPr>
          <w:rFonts w:hint="eastAsia" w:ascii="宋体" w:hAnsi="宋体" w:eastAsia="宋体" w:cs="宋体"/>
          <w:color w:val="auto"/>
          <w:kern w:val="0"/>
          <w:sz w:val="28"/>
          <w:szCs w:val="28"/>
        </w:rPr>
        <w:t>安全有序进行，按照安徽省教育系统新冠肺炎疫情防控工作领导小组《关于切实做好校园常态化疫情防控工作的通知》和《安徽省学校新冠肺炎疫情重点场所防控工作指引》等有关文件精神，特制定本预案。</w:t>
      </w:r>
    </w:p>
    <w:p>
      <w:pPr>
        <w:keepNext w:val="0"/>
        <w:keepLines w:val="0"/>
        <w:pageBreakBefore w:val="0"/>
        <w:widowControl w:val="0"/>
        <w:kinsoku/>
        <w:wordWrap/>
        <w:overflowPunct/>
        <w:topLinePunct w:val="0"/>
        <w:autoSpaceDE w:val="0"/>
        <w:autoSpaceDN w:val="0"/>
        <w:bidi w:val="0"/>
        <w:adjustRightInd/>
        <w:snapToGrid w:val="0"/>
        <w:spacing w:before="0" w:beforeLines="100" w:line="360" w:lineRule="auto"/>
        <w:ind w:firstLine="562" w:firstLineChars="200"/>
        <w:textAlignment w:val="auto"/>
        <w:rPr>
          <w:rFonts w:hint="eastAsia" w:ascii="宋体" w:hAnsi="宋体" w:eastAsia="宋体" w:cs="宋体"/>
          <w:b/>
          <w:bCs/>
          <w:color w:val="auto"/>
          <w:kern w:val="0"/>
          <w:sz w:val="28"/>
          <w:szCs w:val="28"/>
        </w:rPr>
      </w:pPr>
      <w:bookmarkStart w:id="0" w:name="_Toc8874"/>
      <w:bookmarkStart w:id="1" w:name="_Toc17474"/>
      <w:r>
        <w:rPr>
          <w:rFonts w:hint="eastAsia" w:ascii="宋体" w:hAnsi="宋体" w:eastAsia="宋体" w:cs="宋体"/>
          <w:b/>
          <w:bCs/>
          <w:color w:val="auto"/>
          <w:kern w:val="0"/>
          <w:sz w:val="28"/>
          <w:szCs w:val="28"/>
        </w:rPr>
        <w:t>一、基本原则</w:t>
      </w:r>
      <w:bookmarkEnd w:id="0"/>
      <w:bookmarkEnd w:id="1"/>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预防为主，高度重视。宣传新型冠状病毒感染的肺炎疫情防治知识，提高参赛人员和工作人员的防护意识，加强日常监测，发现病例及时采取有效的预防与控制措施，迅速切断传播途径，控制疫情的传播和蔓延。</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2.依法管理，统一领导。严格执行国家有关法律法规，对突发公共卫生事件的预防、疫情报告、控制和救治工作实行依法管理。成立疫情防控工作小组，负责组织、指挥、协调与落实大赛期间疫情防控工作。</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3.及早发现，及时上报。建立每日晨检、午检制度，按照“四早”要求，保证发现、报告、隔离、治疗等环节紧密衔接，一旦发生突发事件，快速反应，及时上报有关部门。</w:t>
      </w:r>
    </w:p>
    <w:p>
      <w:pPr>
        <w:keepNext w:val="0"/>
        <w:keepLines w:val="0"/>
        <w:pageBreakBefore w:val="0"/>
        <w:widowControl w:val="0"/>
        <w:kinsoku/>
        <w:wordWrap/>
        <w:overflowPunct/>
        <w:topLinePunct w:val="0"/>
        <w:autoSpaceDE w:val="0"/>
        <w:autoSpaceDN w:val="0"/>
        <w:bidi w:val="0"/>
        <w:adjustRightInd/>
        <w:snapToGrid w:val="0"/>
        <w:spacing w:before="0" w:beforeLines="100" w:line="360" w:lineRule="auto"/>
        <w:ind w:firstLine="562" w:firstLineChars="200"/>
        <w:textAlignment w:val="auto"/>
        <w:rPr>
          <w:rFonts w:hint="eastAsia" w:ascii="宋体" w:hAnsi="宋体" w:eastAsia="宋体" w:cs="宋体"/>
          <w:b/>
          <w:bCs/>
          <w:color w:val="auto"/>
          <w:kern w:val="0"/>
          <w:sz w:val="28"/>
          <w:szCs w:val="28"/>
        </w:rPr>
      </w:pPr>
      <w:bookmarkStart w:id="2" w:name="_Toc25781"/>
      <w:bookmarkStart w:id="3" w:name="_Toc2989"/>
      <w:r>
        <w:rPr>
          <w:rFonts w:hint="eastAsia" w:ascii="宋体" w:hAnsi="宋体" w:eastAsia="宋体" w:cs="宋体"/>
          <w:b/>
          <w:bCs/>
          <w:color w:val="auto"/>
          <w:kern w:val="0"/>
          <w:sz w:val="28"/>
          <w:szCs w:val="28"/>
        </w:rPr>
        <w:t>二、疫情防控工作小组</w:t>
      </w:r>
      <w:bookmarkEnd w:id="2"/>
      <w:bookmarkEnd w:id="3"/>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根据大赛组委会人员配置情况，成立</w:t>
      </w:r>
      <w:r>
        <w:rPr>
          <w:rFonts w:hint="eastAsia" w:ascii="宋体" w:hAnsi="宋体" w:eastAsia="宋体" w:cs="宋体"/>
          <w:color w:val="auto"/>
          <w:kern w:val="0"/>
          <w:sz w:val="28"/>
          <w:szCs w:val="28"/>
          <w:lang w:val="en-US" w:eastAsia="zh-CN"/>
        </w:rPr>
        <w:t>2021年全国职业院校技能大赛高职组安徽省选拔赛电子产品设计及制作赛项</w:t>
      </w:r>
      <w:r>
        <w:rPr>
          <w:rFonts w:hint="eastAsia" w:ascii="宋体" w:hAnsi="宋体" w:eastAsia="宋体" w:cs="宋体"/>
          <w:color w:val="auto"/>
          <w:kern w:val="0"/>
          <w:sz w:val="28"/>
          <w:szCs w:val="28"/>
        </w:rPr>
        <w:t>疫情防控工作小组，统一组织领导大赛期间的防控工作。</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组长：黄晓林</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成员：周保平、王仕霞、阮志伟、徐必友、</w:t>
      </w:r>
      <w:r>
        <w:rPr>
          <w:rFonts w:hint="eastAsia" w:cs="宋体"/>
          <w:color w:val="auto"/>
          <w:kern w:val="0"/>
          <w:sz w:val="28"/>
          <w:szCs w:val="28"/>
          <w:lang w:val="en-US" w:eastAsia="zh-CN"/>
        </w:rPr>
        <w:t>唐建军</w:t>
      </w:r>
      <w:r>
        <w:rPr>
          <w:rFonts w:hint="eastAsia" w:ascii="宋体" w:hAnsi="宋体" w:eastAsia="宋体" w:cs="宋体"/>
          <w:color w:val="auto"/>
          <w:kern w:val="0"/>
          <w:sz w:val="28"/>
          <w:szCs w:val="28"/>
        </w:rPr>
        <w:t>、</w:t>
      </w:r>
      <w:r>
        <w:rPr>
          <w:rFonts w:hint="eastAsia" w:cs="宋体"/>
          <w:color w:val="auto"/>
          <w:kern w:val="0"/>
          <w:sz w:val="28"/>
          <w:szCs w:val="28"/>
          <w:lang w:val="en-US" w:eastAsia="zh-CN"/>
        </w:rPr>
        <w:t>汪来法</w:t>
      </w:r>
      <w:r>
        <w:rPr>
          <w:rFonts w:hint="eastAsia" w:ascii="宋体" w:hAnsi="宋体" w:eastAsia="宋体" w:cs="宋体"/>
          <w:color w:val="auto"/>
          <w:kern w:val="0"/>
          <w:sz w:val="28"/>
          <w:szCs w:val="28"/>
        </w:rPr>
        <w:t>。</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疫情防控工作小组各成员要高度重视，超前防范，周密安排，严肃纪律，落实责任。配合卫生健康等部门落实疫情防扩散措施，及时分析、研判防控工作形势，相应调整大赛相关工作安排；制定防控处置措施；及时掌握处置大赛期间疫情信息，及时做好相关网络舆情处置。小组全体成员24小时保持电话畅通，确保能迅速启动应急机制，按照职责分工，认真抓好落实，及时报送相关信息，全力以赴，确保大赛安全。</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工作小组下设信息联络组、安全保障组、后勤保障组、消毒组等4个工作组。</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1.信息联络组：负责健康信息汇总统计工作，掌握重点人员名单，负责每日健康数据的收集、上报、处理和传递，确保信息上报渠道畅通，及时报告疫情防控工作小组。责任部门：</w:t>
      </w:r>
      <w:r>
        <w:rPr>
          <w:rFonts w:hint="eastAsia" w:cs="宋体"/>
          <w:color w:val="auto"/>
          <w:kern w:val="0"/>
          <w:sz w:val="28"/>
          <w:szCs w:val="28"/>
          <w:lang w:val="en-US" w:eastAsia="zh-CN"/>
        </w:rPr>
        <w:t>电子信息与传媒</w:t>
      </w:r>
      <w:r>
        <w:rPr>
          <w:rFonts w:hint="eastAsia" w:ascii="宋体" w:hAnsi="宋体" w:eastAsia="宋体" w:cs="宋体"/>
          <w:color w:val="auto"/>
          <w:kern w:val="0"/>
          <w:sz w:val="28"/>
          <w:szCs w:val="28"/>
        </w:rPr>
        <w:t>系</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2.安全保障组：加强巡查管控，负责维护培训基地安全、处理突发安全事件。责任部门：保卫处</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3.后勤保障组：负责疫情防控设备设施以及所需物资的采购、调运。责任部门：总务处</w:t>
      </w:r>
    </w:p>
    <w:p>
      <w:pPr>
        <w:snapToGrid w:val="0"/>
        <w:spacing w:line="440" w:lineRule="exact"/>
        <w:ind w:firstLine="560" w:firstLineChars="200"/>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4.消毒组：负责比赛场地、活动场地等预防性消毒，加强比赛场地、活动场地等人群聚集空间的空气通风换气，做好厕所、楼梯扶手、门把手等公共设施用具的消毒，特别注意饮食、饮水安全，引导做好个人手卫生，指导正确洗手、戴口罩等。责任部门：后勤集团</w:t>
      </w:r>
    </w:p>
    <w:p>
      <w:pPr>
        <w:keepNext w:val="0"/>
        <w:keepLines w:val="0"/>
        <w:pageBreakBefore w:val="0"/>
        <w:widowControl w:val="0"/>
        <w:kinsoku/>
        <w:wordWrap/>
        <w:overflowPunct/>
        <w:topLinePunct w:val="0"/>
        <w:autoSpaceDE w:val="0"/>
        <w:autoSpaceDN w:val="0"/>
        <w:bidi w:val="0"/>
        <w:adjustRightInd/>
        <w:snapToGrid w:val="0"/>
        <w:spacing w:before="0" w:beforeLines="100" w:line="360" w:lineRule="auto"/>
        <w:ind w:firstLine="562" w:firstLineChars="200"/>
        <w:textAlignment w:val="auto"/>
        <w:rPr>
          <w:rFonts w:hint="eastAsia" w:ascii="宋体" w:hAnsi="宋体" w:eastAsia="宋体" w:cs="宋体"/>
          <w:b/>
          <w:bCs/>
          <w:color w:val="auto"/>
          <w:kern w:val="0"/>
          <w:sz w:val="28"/>
          <w:szCs w:val="28"/>
        </w:rPr>
      </w:pPr>
      <w:bookmarkStart w:id="4" w:name="_Toc14078"/>
      <w:bookmarkStart w:id="5" w:name="_Toc19279"/>
      <w:r>
        <w:rPr>
          <w:rFonts w:hint="eastAsia" w:ascii="宋体" w:hAnsi="宋体" w:eastAsia="宋体" w:cs="宋体"/>
          <w:b/>
          <w:bCs/>
          <w:color w:val="auto"/>
          <w:kern w:val="0"/>
          <w:sz w:val="28"/>
          <w:szCs w:val="28"/>
        </w:rPr>
        <w:t>三、赛场疫情防控管理</w:t>
      </w:r>
      <w:bookmarkEnd w:id="4"/>
      <w:bookmarkEnd w:id="5"/>
    </w:p>
    <w:p>
      <w:pPr>
        <w:keepNext w:val="0"/>
        <w:keepLines w:val="0"/>
        <w:pageBreakBefore w:val="0"/>
        <w:widowControl w:val="0"/>
        <w:kinsoku/>
        <w:wordWrap/>
        <w:overflowPunct/>
        <w:topLinePunct w:val="0"/>
        <w:autoSpaceDE w:val="0"/>
        <w:autoSpaceDN w:val="0"/>
        <w:bidi w:val="0"/>
        <w:adjustRightInd/>
        <w:snapToGrid w:val="0"/>
        <w:spacing w:before="0" w:beforeLines="100" w:line="360" w:lineRule="auto"/>
        <w:ind w:firstLine="560" w:firstLineChars="200"/>
        <w:textAlignment w:val="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1.做好赛场环境清洁消毒，对桌面、地面、座椅、门把手、水龙头等重点部位擦拭消毒，消毒后进行封闭管理。</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2.加强赛场</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活动场所</w:t>
      </w:r>
      <w:r>
        <w:rPr>
          <w:rFonts w:hint="eastAsia" w:ascii="宋体" w:hAnsi="宋体" w:eastAsia="宋体" w:cs="宋体"/>
          <w:color w:val="auto"/>
          <w:kern w:val="0"/>
          <w:sz w:val="28"/>
          <w:szCs w:val="28"/>
        </w:rPr>
        <w:t>通风。赛场</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活动场所</w:t>
      </w:r>
      <w:r>
        <w:rPr>
          <w:rFonts w:hint="eastAsia" w:ascii="宋体" w:hAnsi="宋体" w:eastAsia="宋体" w:cs="宋体"/>
          <w:color w:val="auto"/>
          <w:kern w:val="0"/>
          <w:sz w:val="28"/>
          <w:szCs w:val="28"/>
        </w:rPr>
        <w:t>使用前后通风，保持单向通风。</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3.赛场门口放置一次性医用口罩、免洗手消毒液。</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4.严格卫生间清洁消毒，保障排风扇正常运转，保持空气流通，确保下水道畅通。</w:t>
      </w:r>
    </w:p>
    <w:p>
      <w:pPr>
        <w:keepNext w:val="0"/>
        <w:keepLines w:val="0"/>
        <w:pageBreakBefore w:val="0"/>
        <w:widowControl w:val="0"/>
        <w:kinsoku/>
        <w:wordWrap/>
        <w:overflowPunct/>
        <w:topLinePunct w:val="0"/>
        <w:autoSpaceDE w:val="0"/>
        <w:autoSpaceDN w:val="0"/>
        <w:bidi w:val="0"/>
        <w:adjustRightInd/>
        <w:snapToGrid w:val="0"/>
        <w:spacing w:before="0" w:beforeLines="100" w:line="360" w:lineRule="auto"/>
        <w:ind w:firstLine="562" w:firstLineChars="200"/>
        <w:textAlignment w:val="auto"/>
        <w:rPr>
          <w:rFonts w:hint="eastAsia" w:ascii="宋体" w:hAnsi="宋体" w:eastAsia="宋体" w:cs="宋体"/>
          <w:b/>
          <w:bCs/>
          <w:color w:val="auto"/>
          <w:kern w:val="0"/>
          <w:sz w:val="28"/>
          <w:szCs w:val="28"/>
        </w:rPr>
      </w:pPr>
      <w:bookmarkStart w:id="6" w:name="_Toc7512"/>
      <w:bookmarkStart w:id="7" w:name="_Toc9579"/>
      <w:r>
        <w:rPr>
          <w:rFonts w:hint="eastAsia" w:ascii="宋体" w:hAnsi="宋体" w:eastAsia="宋体" w:cs="宋体"/>
          <w:b/>
          <w:bCs/>
          <w:color w:val="auto"/>
          <w:kern w:val="0"/>
          <w:sz w:val="28"/>
          <w:szCs w:val="28"/>
        </w:rPr>
        <w:t>四、大赛人员健康管理</w:t>
      </w:r>
      <w:bookmarkEnd w:id="6"/>
      <w:bookmarkEnd w:id="7"/>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所有参赛人员、临时到会人员、工作人员及司乘人员等均纳入大赛人员健康管理。</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所有大赛人员在进入赛场前均要测量体温，个人做好防护，备足一次性医用口罩，科学合理佩戴。</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2.所有大赛人员在住宿登记和进入校园前均要核验健康码，健康码显示黄码、红码人员不得入内，并立即向当地疫情防控部门报告。做好大赛人员健康登记，以便必要时开展追踪监测。</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参赛人员所在单位报到前14天组织开展相关健康排查。存在以下情形的人员，不得参赛：确诊病例、疑似病例、无症状感染者和尚在隔离观察期的密切接触者；近14天有发热、咳嗽等症状未痊愈的，未排除传染病及身体不适者。14天内有国内中高风险等疫情重点地区旅居史和接触史的，原则上不得参赛，确需参加的人员应进行核酸检测，检测阴性的方可参赛。</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参赛人员所在单位组织参赛人员开展健康监测。报到前14天起，每天采取自查自报方式进行健康监测，早、晚各进行1次体温测量。一旦发现发热、乏力、咳嗽、咽痛、打喷嚏、腹泻、呕吐等疑似症状，应及时向所在单位报告，并尽快就诊排查，未排除疑似传染病及身体不适者不得参赛。</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大赛期间，每天采取自查自报方式进行健康监测，早、晚各进行1次体温测量，填写健康监测记录表，由指定人员进行健康监测汇总登记，并留存备查。一旦发现发热、乏力、咳嗽、咽痛、打喷嚏、腹泻、呕吐等疑似症状，应及时向所在单位和大赛组委会报告，并尽快就诊排查，未排除疑似传染病及身体不适者不得参赛。</w:t>
      </w:r>
    </w:p>
    <w:p>
      <w:pPr>
        <w:keepNext w:val="0"/>
        <w:keepLines w:val="0"/>
        <w:pageBreakBefore w:val="0"/>
        <w:widowControl w:val="0"/>
        <w:kinsoku/>
        <w:wordWrap/>
        <w:overflowPunct/>
        <w:topLinePunct w:val="0"/>
        <w:autoSpaceDE w:val="0"/>
        <w:autoSpaceDN w:val="0"/>
        <w:bidi w:val="0"/>
        <w:adjustRightInd/>
        <w:snapToGrid w:val="0"/>
        <w:spacing w:before="0" w:beforeLines="100" w:line="360" w:lineRule="auto"/>
        <w:ind w:firstLine="562" w:firstLineChars="200"/>
        <w:textAlignment w:val="auto"/>
        <w:rPr>
          <w:rFonts w:hint="eastAsia" w:ascii="宋体" w:hAnsi="宋体" w:eastAsia="宋体" w:cs="宋体"/>
          <w:b/>
          <w:bCs/>
          <w:color w:val="auto"/>
          <w:kern w:val="0"/>
          <w:sz w:val="28"/>
          <w:szCs w:val="28"/>
        </w:rPr>
      </w:pPr>
      <w:bookmarkStart w:id="8" w:name="_Toc12707"/>
      <w:bookmarkStart w:id="9" w:name="_Toc27063"/>
      <w:r>
        <w:rPr>
          <w:rFonts w:hint="eastAsia" w:ascii="宋体" w:hAnsi="宋体" w:eastAsia="宋体" w:cs="宋体"/>
          <w:b/>
          <w:bCs/>
          <w:color w:val="auto"/>
          <w:kern w:val="0"/>
          <w:sz w:val="28"/>
          <w:szCs w:val="28"/>
        </w:rPr>
        <w:t>五、餐饮管理</w:t>
      </w:r>
      <w:bookmarkEnd w:id="8"/>
      <w:bookmarkEnd w:id="9"/>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.保持就餐环境干净整洁，入口处放置免洗手消毒液和洗手提示牌，保持餐厅通风。</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.加强餐厅和食品加工制作区环境清洁消毒，严格餐饮具消毒，落实食品安全措施。</w:t>
      </w:r>
    </w:p>
    <w:p>
      <w:pPr>
        <w:keepNext w:val="0"/>
        <w:keepLines w:val="0"/>
        <w:pageBreakBefore w:val="0"/>
        <w:widowControl w:val="0"/>
        <w:kinsoku/>
        <w:wordWrap/>
        <w:overflowPunct/>
        <w:topLinePunct w:val="0"/>
        <w:autoSpaceDE w:val="0"/>
        <w:autoSpaceDN w:val="0"/>
        <w:bidi w:val="0"/>
        <w:adjustRightInd/>
        <w:snapToGrid w:val="0"/>
        <w:spacing w:before="0" w:beforeLines="100" w:line="360" w:lineRule="auto"/>
        <w:ind w:firstLine="562" w:firstLineChars="200"/>
        <w:textAlignment w:val="auto"/>
        <w:rPr>
          <w:rFonts w:hint="eastAsia" w:ascii="宋体" w:hAnsi="宋体" w:eastAsia="宋体" w:cs="宋体"/>
          <w:b/>
          <w:bCs/>
          <w:color w:val="auto"/>
          <w:kern w:val="0"/>
          <w:sz w:val="28"/>
          <w:szCs w:val="28"/>
        </w:rPr>
      </w:pPr>
      <w:bookmarkStart w:id="10" w:name="_Toc24059"/>
      <w:bookmarkStart w:id="11" w:name="_Toc28614"/>
      <w:r>
        <w:rPr>
          <w:rFonts w:hint="eastAsia" w:ascii="宋体" w:hAnsi="宋体" w:eastAsia="宋体" w:cs="宋体"/>
          <w:b/>
          <w:bCs/>
          <w:color w:val="auto"/>
          <w:kern w:val="0"/>
          <w:sz w:val="28"/>
          <w:szCs w:val="28"/>
        </w:rPr>
        <w:t>六、住地疫情防控管理</w:t>
      </w:r>
      <w:bookmarkEnd w:id="10"/>
      <w:bookmarkEnd w:id="11"/>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做好客房通风消毒，以开启门窗方式进行客房通风，加强室内空气流通，合理使用中央空调系统，保持室内空气流通。每天定时对环境进行常规清洁消毒，对客房桌面、座椅、门把手、水龙头等重点部位擦拭消毒。</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2.定时对电梯清洁消毒，保持电梯风扇正常运转，引导人员分散乘梯。</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3.严格卫生间清洁消毒，保障排风扇正常运转，保持空气流通，确保下水道畅通。</w:t>
      </w:r>
    </w:p>
    <w:p>
      <w:pPr>
        <w:snapToGrid w:val="0"/>
        <w:spacing w:line="440" w:lineRule="exact"/>
        <w:ind w:firstLine="562" w:firstLineChars="200"/>
        <w:rPr>
          <w:rFonts w:hint="eastAsia" w:ascii="宋体" w:hAnsi="宋体" w:eastAsia="宋体" w:cs="宋体"/>
          <w:b/>
          <w:bCs/>
          <w:color w:val="auto"/>
          <w:kern w:val="0"/>
          <w:sz w:val="28"/>
          <w:szCs w:val="28"/>
        </w:rPr>
      </w:pPr>
      <w:bookmarkStart w:id="12" w:name="_Toc17398"/>
      <w:bookmarkStart w:id="13" w:name="_Toc8116"/>
      <w:r>
        <w:rPr>
          <w:rFonts w:hint="eastAsia" w:ascii="宋体" w:hAnsi="宋体" w:eastAsia="宋体" w:cs="宋体"/>
          <w:b/>
          <w:bCs/>
          <w:color w:val="auto"/>
          <w:kern w:val="0"/>
          <w:sz w:val="28"/>
          <w:szCs w:val="28"/>
        </w:rPr>
        <w:t>七、应急处置</w:t>
      </w:r>
      <w:bookmarkEnd w:id="12"/>
      <w:bookmarkEnd w:id="13"/>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大赛期间，如有人员出现咳嗽、呼吸困难等不适症状，应由所在场所相关工作人员，立即将异常人员带离赛场或集体活动区域，为其佩戴一次性口罩（已佩戴的确认佩戴规范），启动应急处置，安排就医排查。异常人员带离后，要提醒在场人员做好个人防护，注意观察自身状况。</w:t>
      </w:r>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2.设置临时留观点，留观点需避开人员出入必经通道和集中活动场所。如多人同时出现异常时，应各自单间隔离。</w:t>
      </w:r>
    </w:p>
    <w:p>
      <w:pPr>
        <w:snapToGrid w:val="0"/>
        <w:spacing w:line="440" w:lineRule="exact"/>
        <w:ind w:firstLine="562" w:firstLineChars="200"/>
        <w:rPr>
          <w:rFonts w:hint="eastAsia" w:ascii="宋体" w:hAnsi="宋体" w:eastAsia="宋体" w:cs="宋体"/>
          <w:b/>
          <w:bCs/>
          <w:color w:val="auto"/>
          <w:kern w:val="0"/>
          <w:sz w:val="28"/>
          <w:szCs w:val="28"/>
        </w:rPr>
      </w:pPr>
      <w:bookmarkStart w:id="14" w:name="_Toc22732"/>
      <w:bookmarkStart w:id="15" w:name="_Toc7408"/>
      <w:r>
        <w:rPr>
          <w:rFonts w:hint="eastAsia" w:ascii="宋体" w:hAnsi="宋体" w:eastAsia="宋体" w:cs="宋体"/>
          <w:b/>
          <w:bCs/>
          <w:color w:val="auto"/>
          <w:kern w:val="0"/>
          <w:sz w:val="28"/>
          <w:szCs w:val="28"/>
        </w:rPr>
        <w:t>八、交通工具防护管理</w:t>
      </w:r>
      <w:bookmarkEnd w:id="14"/>
      <w:bookmarkEnd w:id="15"/>
    </w:p>
    <w:p>
      <w:pPr>
        <w:snapToGrid w:val="0"/>
        <w:spacing w:line="440" w:lineRule="exact"/>
        <w:ind w:firstLine="560" w:firstLineChars="2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1.做好城际交通防护。出行期间应当备齐防护用品，严格做好个人防护，全程佩戴一次性医用口罩，注意保持手卫生，尽量保持与其他人员的距离，减少在人员密集场所停留时间。</w:t>
      </w:r>
    </w:p>
    <w:p>
      <w:pPr>
        <w:snapToGrid w:val="0"/>
        <w:spacing w:line="440" w:lineRule="exact"/>
        <w:ind w:firstLine="560" w:firstLineChars="200"/>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rPr>
        <w:t>2.加强大赛期间使用车辆的防护管理，参赛人员和工作服务人员如需集中乘坐车辆往返住地和赛场的，适当加大座位间隔，对集中乘坐的车辆进行清洁和消毒，保持单向空气流通，安全合理使用空调。</w:t>
      </w:r>
    </w:p>
    <w:sectPr>
      <w:headerReference r:id="rId3" w:type="default"/>
      <w:pgSz w:w="11910" w:h="16840"/>
      <w:pgMar w:top="1440" w:right="1701" w:bottom="1440" w:left="1800" w:header="877"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line id="_x0000_s4097" o:spid="_x0000_s4097" o:spt="20" style="position:absolute;left:0pt;margin-left:88.6pt;margin-top:55.55pt;height:0pt;width:418.25pt;mso-position-horizontal-relative:page;mso-position-vertical-relative:page;z-index:-251657216;mso-width-relative:page;mso-height-relative:page;" coordsize="21600,21600">
          <v:path arrowok="t"/>
          <v:fill focussize="0,0"/>
          <v:stroke weight="0.72pt"/>
          <v:imagedata o:title=""/>
          <o:lock v:ext="edit"/>
        </v:line>
      </w:pict>
    </w:r>
    <w:r>
      <w:pict>
        <v:shape id="_x0000_s4098" o:spid="_x0000_s4098" o:spt="202" type="#_x0000_t202" style="position:absolute;left:0pt;margin-left:124.4pt;margin-top:42.85pt;height:12pt;width:346.6pt;mso-position-horizontal-relative:page;mso-position-vertical-relative:page;z-index:-251656192;mso-width-relative:page;mso-height-relative:page;" filled="f" stroked="f" coordsize="21600,21600">
          <v:path/>
          <v:fill on="f" focussize="0,0"/>
          <v:stroke on="f"/>
          <v:imagedata o:title=""/>
          <o:lock v:ext="edit" aspectratio="f"/>
          <v:textbox inset="0mm,0mm,0mm,0mm">
            <w:txbxContent>
              <w:p>
                <w:pPr>
                  <w:rPr>
                    <w:rFonts w:hint="eastAsia"/>
                    <w:sz w:val="18"/>
                    <w:szCs w:val="18"/>
                    <w:lang w:val="en-US" w:eastAsia="zh-CN"/>
                  </w:rPr>
                </w:pPr>
                <w:r>
                  <w:rPr>
                    <w:rFonts w:hint="eastAsia"/>
                    <w:sz w:val="18"/>
                    <w:szCs w:val="18"/>
                    <w:lang w:val="en-US" w:eastAsia="zh-CN"/>
                  </w:rPr>
                  <w:t>2021年全国职业院校技能大赛高职组安徽省选拔赛电子产品设计及制作赛项竞赛规程</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3,4"/>
    </o:shapelayout>
  </w:hdrShapeDefaults>
  <w:compat>
    <w:ulTrailSpace/>
    <w:shapeLayoutLikeWW8/>
    <w:useFELayout/>
    <w:compatSetting w:name="compatibilityMode" w:uri="http://schemas.microsoft.com/office/word" w:val="12"/>
  </w:compat>
  <w:rsids>
    <w:rsidRoot w:val="00B902F5"/>
    <w:rsid w:val="000D0544"/>
    <w:rsid w:val="002D2878"/>
    <w:rsid w:val="00434BCE"/>
    <w:rsid w:val="006518B6"/>
    <w:rsid w:val="006B1375"/>
    <w:rsid w:val="00701289"/>
    <w:rsid w:val="00AE13EA"/>
    <w:rsid w:val="00B902F5"/>
    <w:rsid w:val="02BC2EB3"/>
    <w:rsid w:val="03275BD7"/>
    <w:rsid w:val="032E2464"/>
    <w:rsid w:val="03457F82"/>
    <w:rsid w:val="038A4573"/>
    <w:rsid w:val="05B6164C"/>
    <w:rsid w:val="05FE2CD1"/>
    <w:rsid w:val="09974825"/>
    <w:rsid w:val="09D16314"/>
    <w:rsid w:val="0A523C8F"/>
    <w:rsid w:val="0B10467F"/>
    <w:rsid w:val="0CA71A7C"/>
    <w:rsid w:val="0CEB2191"/>
    <w:rsid w:val="0FF47802"/>
    <w:rsid w:val="10D12975"/>
    <w:rsid w:val="11A17F0D"/>
    <w:rsid w:val="13B923BD"/>
    <w:rsid w:val="15216E7B"/>
    <w:rsid w:val="169F4D01"/>
    <w:rsid w:val="16F52A89"/>
    <w:rsid w:val="17C3748D"/>
    <w:rsid w:val="19890F9D"/>
    <w:rsid w:val="1A0B48D2"/>
    <w:rsid w:val="1ACB6B32"/>
    <w:rsid w:val="1AD14F3C"/>
    <w:rsid w:val="1B9D2E90"/>
    <w:rsid w:val="1C117EC4"/>
    <w:rsid w:val="1C655BDF"/>
    <w:rsid w:val="1CAB21EA"/>
    <w:rsid w:val="1CC3394E"/>
    <w:rsid w:val="1D703CCA"/>
    <w:rsid w:val="1E697A1B"/>
    <w:rsid w:val="1F725C95"/>
    <w:rsid w:val="20132DBC"/>
    <w:rsid w:val="207F3077"/>
    <w:rsid w:val="20E63354"/>
    <w:rsid w:val="239B4FB9"/>
    <w:rsid w:val="25C51C4A"/>
    <w:rsid w:val="26641F00"/>
    <w:rsid w:val="28E27553"/>
    <w:rsid w:val="293A3763"/>
    <w:rsid w:val="2AC523AA"/>
    <w:rsid w:val="2BEF6CB5"/>
    <w:rsid w:val="2C9C3130"/>
    <w:rsid w:val="2E065DE7"/>
    <w:rsid w:val="2FB76CF0"/>
    <w:rsid w:val="30D95718"/>
    <w:rsid w:val="341145D9"/>
    <w:rsid w:val="34B81761"/>
    <w:rsid w:val="36ED2F86"/>
    <w:rsid w:val="390535CF"/>
    <w:rsid w:val="398D31E8"/>
    <w:rsid w:val="39971A3A"/>
    <w:rsid w:val="39DD35AB"/>
    <w:rsid w:val="3A235B73"/>
    <w:rsid w:val="3A97100A"/>
    <w:rsid w:val="3B185F13"/>
    <w:rsid w:val="3C43306C"/>
    <w:rsid w:val="3F222088"/>
    <w:rsid w:val="400A0736"/>
    <w:rsid w:val="407670BC"/>
    <w:rsid w:val="42A21F4C"/>
    <w:rsid w:val="462B6D81"/>
    <w:rsid w:val="48854376"/>
    <w:rsid w:val="49E552D0"/>
    <w:rsid w:val="4ADA7CCA"/>
    <w:rsid w:val="4B2C2713"/>
    <w:rsid w:val="4BE75A8E"/>
    <w:rsid w:val="4BFB304C"/>
    <w:rsid w:val="4CB66AB3"/>
    <w:rsid w:val="4D244BE8"/>
    <w:rsid w:val="4E0B236F"/>
    <w:rsid w:val="4E796167"/>
    <w:rsid w:val="4F494D56"/>
    <w:rsid w:val="50AA5995"/>
    <w:rsid w:val="50D15A87"/>
    <w:rsid w:val="51571CB8"/>
    <w:rsid w:val="5386731F"/>
    <w:rsid w:val="544C0CEF"/>
    <w:rsid w:val="545D5E5E"/>
    <w:rsid w:val="55CA22C0"/>
    <w:rsid w:val="58980254"/>
    <w:rsid w:val="5966684C"/>
    <w:rsid w:val="5B346C98"/>
    <w:rsid w:val="5BEF3348"/>
    <w:rsid w:val="5C9513D4"/>
    <w:rsid w:val="5D2D29F6"/>
    <w:rsid w:val="5EA32F4E"/>
    <w:rsid w:val="5F26790B"/>
    <w:rsid w:val="5F7D2AFE"/>
    <w:rsid w:val="604068CD"/>
    <w:rsid w:val="63155969"/>
    <w:rsid w:val="642B7A5B"/>
    <w:rsid w:val="6490537E"/>
    <w:rsid w:val="64C945AB"/>
    <w:rsid w:val="65934142"/>
    <w:rsid w:val="65B812D8"/>
    <w:rsid w:val="672266C8"/>
    <w:rsid w:val="675A5592"/>
    <w:rsid w:val="6797468B"/>
    <w:rsid w:val="68061FA0"/>
    <w:rsid w:val="68275E26"/>
    <w:rsid w:val="6842209F"/>
    <w:rsid w:val="68D64A03"/>
    <w:rsid w:val="6954431A"/>
    <w:rsid w:val="69C76A17"/>
    <w:rsid w:val="6B657411"/>
    <w:rsid w:val="6BBB3361"/>
    <w:rsid w:val="6C166ED0"/>
    <w:rsid w:val="6C51130B"/>
    <w:rsid w:val="6C513D82"/>
    <w:rsid w:val="6DB4588F"/>
    <w:rsid w:val="6E6361F2"/>
    <w:rsid w:val="6EB31550"/>
    <w:rsid w:val="6FC25DE7"/>
    <w:rsid w:val="748011B9"/>
    <w:rsid w:val="76C21388"/>
    <w:rsid w:val="781B4628"/>
    <w:rsid w:val="78862BCD"/>
    <w:rsid w:val="792652C9"/>
    <w:rsid w:val="793A633F"/>
    <w:rsid w:val="79764412"/>
    <w:rsid w:val="79BF78EC"/>
    <w:rsid w:val="7B01317F"/>
    <w:rsid w:val="7D503B76"/>
    <w:rsid w:val="7EDD4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52"/>
      <w:ind w:left="120"/>
      <w:outlineLvl w:val="0"/>
    </w:pPr>
    <w:rPr>
      <w:b/>
      <w:bCs/>
      <w:sz w:val="44"/>
      <w:szCs w:val="44"/>
    </w:rPr>
  </w:style>
  <w:style w:type="paragraph" w:styleId="3">
    <w:name w:val="heading 2"/>
    <w:basedOn w:val="1"/>
    <w:next w:val="1"/>
    <w:qFormat/>
    <w:uiPriority w:val="1"/>
    <w:pPr>
      <w:ind w:left="681"/>
      <w:outlineLvl w:val="1"/>
    </w:pPr>
    <w:rPr>
      <w:b/>
      <w:bCs/>
      <w:sz w:val="28"/>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20"/>
    </w:pPr>
    <w:rPr>
      <w:sz w:val="28"/>
      <w:szCs w:val="28"/>
    </w:rPr>
  </w:style>
  <w:style w:type="paragraph" w:styleId="5">
    <w:name w:val="footer"/>
    <w:basedOn w:val="1"/>
    <w:link w:val="14"/>
    <w:unhideWhenUsed/>
    <w:qFormat/>
    <w:uiPriority w:val="99"/>
    <w:pPr>
      <w:tabs>
        <w:tab w:val="center" w:pos="4153"/>
        <w:tab w:val="right" w:pos="8306"/>
      </w:tabs>
      <w:snapToGrid w:val="0"/>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ascii="Times New Roman" w:hAnsi="Times New Roman" w:eastAsia="宋体" w:cs="Times New Roman"/>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ind w:left="120" w:firstLine="698"/>
    </w:pPr>
  </w:style>
  <w:style w:type="paragraph" w:customStyle="1" w:styleId="12">
    <w:name w:val="Table Paragraph"/>
    <w:basedOn w:val="1"/>
    <w:qFormat/>
    <w:uiPriority w:val="1"/>
  </w:style>
  <w:style w:type="character" w:customStyle="1" w:styleId="13">
    <w:name w:val="页眉 Char"/>
    <w:basedOn w:val="8"/>
    <w:link w:val="6"/>
    <w:qFormat/>
    <w:uiPriority w:val="99"/>
    <w:rPr>
      <w:rFonts w:ascii="宋体" w:hAnsi="宋体" w:eastAsia="宋体" w:cs="宋体"/>
      <w:sz w:val="18"/>
      <w:szCs w:val="18"/>
      <w:lang w:val="zh-CN" w:eastAsia="zh-CN" w:bidi="zh-CN"/>
    </w:rPr>
  </w:style>
  <w:style w:type="character" w:customStyle="1" w:styleId="14">
    <w:name w:val="页脚 Char"/>
    <w:basedOn w:val="8"/>
    <w:link w:val="5"/>
    <w:qFormat/>
    <w:uiPriority w:val="99"/>
    <w:rPr>
      <w:rFonts w:ascii="宋体" w:hAnsi="宋体" w:eastAsia="宋体" w:cs="宋体"/>
      <w:sz w:val="18"/>
      <w:szCs w:val="18"/>
      <w:lang w:val="zh-CN" w:eastAsia="zh-CN" w:bidi="zh-CN"/>
    </w:rPr>
  </w:style>
  <w:style w:type="paragraph" w:customStyle="1" w:styleId="15">
    <w:name w:val="Body text|1"/>
    <w:basedOn w:val="1"/>
    <w:qFormat/>
    <w:uiPriority w:val="0"/>
    <w:pPr>
      <w:widowControl w:val="0"/>
      <w:shd w:val="clear" w:color="auto" w:fill="auto"/>
      <w:spacing w:line="398"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585</Words>
  <Characters>3336</Characters>
  <Lines>27</Lines>
  <Paragraphs>7</Paragraphs>
  <TotalTime>47</TotalTime>
  <ScaleCrop>false</ScaleCrop>
  <LinksUpToDate>false</LinksUpToDate>
  <CharactersWithSpaces>3914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2021-03-25T06:56:00Z</dcterms:created>
  <dc:creator>sungg010</dc:creator>
  <cp:lastModifiedBy>斯坦福桥的BlueSky</cp:lastModifiedBy>
  <cp:lastPrinted>2021-03-29T07:33:00Z</cp:lastPrinted>
  <dcterms:modified xsi:type="dcterms:W3CDTF">2021-04-03T08:41:28Z</dcterms:modified>
  <dc:title>2018年安徽省职业院校技能大赛（高职组）“电子产品设计及制作”项目竞赛规程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 2010</vt:lpwstr>
  </property>
  <property fmtid="{D5CDD505-2E9C-101B-9397-08002B2CF9AE}" pid="4" name="LastSaved">
    <vt:filetime>2021-03-25T00:00:00Z</vt:filetime>
  </property>
  <property fmtid="{D5CDD505-2E9C-101B-9397-08002B2CF9AE}" pid="5" name="KSOProductBuildVer">
    <vt:lpwstr>2052-11.1.0.10356</vt:lpwstr>
  </property>
  <property fmtid="{D5CDD505-2E9C-101B-9397-08002B2CF9AE}" pid="6" name="ICV">
    <vt:lpwstr>64BC4F18C49C4134826283C2107269D9</vt:lpwstr>
  </property>
</Properties>
</file>